
<file path=[Content_Types].xml><?xml version="1.0" encoding="utf-8"?>
<Types xmlns="http://schemas.openxmlformats.org/package/2006/content-types">
  <Default Extension="png" ContentType="image/pn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4B0D36" w:rsidRPr="00E70653" w:rsidRDefault="00A82EB4" w:rsidP="00A76DB3">
      <w:pPr>
        <w:pStyle w:val="Ref"/>
      </w:pPr>
      <w:r w:rsidRPr="00E70653">
        <mc:AlternateContent>
          <mc:Choice Requires="wps">
            <w:drawing>
              <wp:anchor distT="0" distB="0" distL="114300" distR="114300" simplePos="0" relativeHeight="251659264" behindDoc="0" locked="0" layoutInCell="1" allowOverlap="1" wp14:anchorId="75DAE196" wp14:editId="690D258F">
                <wp:simplePos x="0" y="0"/>
                <wp:positionH relativeFrom="column">
                  <wp:posOffset>2067119</wp:posOffset>
                </wp:positionH>
                <wp:positionV relativeFrom="paragraph">
                  <wp:posOffset>238638</wp:posOffset>
                </wp:positionV>
                <wp:extent cx="4037384" cy="567221"/>
                <wp:effectExtent l="0" t="0" r="20320" b="23495"/>
                <wp:wrapNone/>
                <wp:docPr id="30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37384" cy="567221"/>
                        </a:xfrm>
                        <a:prstGeom prst="rect">
                          <a:avLst/>
                        </a:prstGeom>
                        <a:noFill/>
                        <a:ln>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rsidR="00A82EB4" w:rsidRPr="00A82EB4" w:rsidRDefault="00A82EB4" w:rsidP="00107297">
                            <w:pPr>
                              <w:jc w:val="center"/>
                            </w:pPr>
                            <w:r w:rsidRPr="00A82EB4">
                              <w:t>The following resources are associated:</w:t>
                            </w:r>
                          </w:p>
                          <w:p w:rsidR="00A82EB4" w:rsidRDefault="00107297" w:rsidP="00107297">
                            <w:pPr>
                              <w:jc w:val="center"/>
                            </w:pPr>
                            <w:r>
                              <w:t>One-Way ANOVA worksheet</w:t>
                            </w:r>
                            <w:r w:rsidR="00865F09">
                              <w:t xml:space="preserve"> and </w:t>
                            </w:r>
                            <w:proofErr w:type="spellStart"/>
                            <w:r w:rsidR="00865F09">
                              <w:t>Kruskall</w:t>
                            </w:r>
                            <w:proofErr w:type="spellEnd"/>
                            <w:r w:rsidR="00865F09">
                              <w:t>-Wallis worksheet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 o:spid="_x0000_s1026" type="#_x0000_t202" style="position:absolute;left:0;text-align:left;margin-left:162.75pt;margin-top:18.8pt;width:317.9pt;height:44.6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" filled="f" strokecolor="#d8d8d8 [2732]" strokeweight="2pt">
                <v:textbox>
                  <w:txbxContent>
                    <w:p w:rsidR="00A82EB4" w:rsidRPr="00A82EB4" w:rsidRDefault="00A82EB4" w:rsidP="00107297">
                      <w:pPr>
                        <w:jc w:val="center"/>
                      </w:pPr>
                      <w:r w:rsidRPr="00A82EB4">
                        <w:t>The following resources are associated:</w:t>
                      </w:r>
                    </w:p>
                    <w:p w:rsidR="00A82EB4" w:rsidRDefault="00107297" w:rsidP="00107297">
                      <w:pPr>
                        <w:jc w:val="center"/>
                      </w:pPr>
                      <w:r>
                        <w:t>One-Way ANOVA worksheet</w:t>
                      </w:r>
                      <w:r w:rsidR="00865F09">
                        <w:t xml:space="preserve"> and </w:t>
                      </w:r>
                      <w:proofErr w:type="spellStart"/>
                      <w:r w:rsidR="00865F09">
                        <w:t>Kruskall</w:t>
                      </w:r>
                      <w:proofErr w:type="spellEnd"/>
                      <w:r w:rsidR="00865F09">
                        <w:t>-Wallis worksheet</w:t>
                      </w:r>
                    </w:p>
                  </w:txbxContent>
                </v:textbox>
              </v:shape>
            </w:pict>
          </mc:Fallback>
        </mc:AlternateContent>
      </w:r>
      <w:bookmarkStart w:id="0" w:name="_GoBack"/>
      <w:bookmarkEnd w:id="0"/>
      <w:r w:rsidR="00107297">
        <w:t>stcp-gilchristsamuels-</w:t>
      </w:r>
      <w:r w:rsidR="00F5656E">
        <w:t>11</w:t>
      </w:r>
    </w:p>
    <w:p w:rsidR="00A82EB4" w:rsidRPr="001A5027" w:rsidRDefault="00A82EB4" w:rsidP="00A76DB3"/>
    <w:p w:rsidR="00A82EB4" w:rsidRDefault="00A82EB4" w:rsidP="00A76DB3"/>
    <w:p w:rsidR="00E70653" w:rsidRDefault="00E70653" w:rsidP="00107297">
      <w:pPr>
        <w:spacing w:after="0"/>
      </w:pPr>
    </w:p>
    <w:p w:rsidR="00107297" w:rsidRPr="00107297" w:rsidRDefault="00107297" w:rsidP="00107297">
      <w:pPr>
        <w:pStyle w:val="Title2"/>
      </w:pPr>
      <w:r w:rsidRPr="00107297">
        <w:t>One-Way ANOVA</w:t>
      </w:r>
      <w:r w:rsidR="00F5656E">
        <w:t xml:space="preserve"> – Additional Material</w:t>
      </w:r>
    </w:p>
    <w:p w:rsidR="00107297" w:rsidRPr="0075018E" w:rsidRDefault="00107297" w:rsidP="00F5656E">
      <w:pPr>
        <w:pStyle w:val="Heading1"/>
      </w:pPr>
      <w:r>
        <w:t>Robustness</w:t>
      </w:r>
    </w:p>
    <w:p w:rsidR="00107297" w:rsidRPr="00675C93" w:rsidRDefault="00107297" w:rsidP="00107297">
      <w:pPr>
        <w:autoSpaceDE w:val="0"/>
        <w:autoSpaceDN w:val="0"/>
        <w:adjustRightInd w:val="0"/>
      </w:pPr>
      <w:r>
        <w:t xml:space="preserve">According to Glass et al. (1972) the equality of variances assumption must be met in order to run an ANOVA analysis.  However, provided the total sample size is larger than 20, </w:t>
      </w:r>
      <w:r w:rsidRPr="00675C93">
        <w:t xml:space="preserve">ANOVA is quite robust to </w:t>
      </w:r>
      <w:r>
        <w:t xml:space="preserve">non-normal </w:t>
      </w:r>
      <w:r w:rsidRPr="00675C93">
        <w:t xml:space="preserve">skewness </w:t>
      </w:r>
      <w:r w:rsidR="006309EA">
        <w:t xml:space="preserve">(provided the group sizes are equal – see Field, 2009, p. 360) </w:t>
      </w:r>
      <w:r w:rsidRPr="00675C93">
        <w:t xml:space="preserve">but not to </w:t>
      </w:r>
      <w:r>
        <w:t>non-normal</w:t>
      </w:r>
      <w:r w:rsidRPr="00675C93">
        <w:t xml:space="preserve"> kurtosis. </w:t>
      </w:r>
      <w:r>
        <w:t xml:space="preserve"> </w:t>
      </w:r>
      <w:r w:rsidRPr="00675C93">
        <w:t>Thus, it should not be used when</w:t>
      </w:r>
      <w:r>
        <w:t>:</w:t>
      </w:r>
    </w:p>
    <w:p w:rsidR="00107297" w:rsidRPr="00675C93" w:rsidRDefault="006C13CD" w:rsidP="00107297">
      <w:pPr>
        <w:autoSpaceDE w:val="0"/>
        <w:autoSpaceDN w:val="0"/>
        <w:adjustRightInd w:val="0"/>
      </w:pPr>
      <m:oMathPara>
        <m:oMathParaPr>
          <m:jc m:val="centerGroup"/>
        </m:oMathParaPr>
        <m:oMath>
          <m:f>
            <m:fPr>
              <m:ctrlPr>
                <w:rPr>
                  <w:rFonts w:ascii="Cambria Math" w:hAnsi="Cambria Math"/>
                  <w:i/>
                  <w:iCs/>
                </w:rPr>
              </m:ctrlPr>
            </m:fPr>
            <m:num>
              <m:d>
                <m:dPr>
                  <m:begChr m:val="|"/>
                  <m:endChr m:val="|"/>
                  <m:ctrlPr>
                    <w:rPr>
                      <w:rFonts w:ascii="Cambria Math" w:hAnsi="Cambria Math"/>
                      <w:i/>
                      <w:iCs/>
                    </w:rPr>
                  </m:ctrlPr>
                </m:dPr>
                <m:e>
                  <m:r>
                    <m:rPr>
                      <m:nor/>
                    </m:rPr>
                    <w:rPr>
                      <w:rFonts w:ascii="Cambria Math" w:hAnsi="Cambria Math"/>
                      <w:iCs/>
                    </w:rPr>
                    <m:t>Kurtosis</m:t>
                  </m:r>
                </m:e>
              </m:d>
            </m:num>
            <m:den>
              <m:r>
                <m:rPr>
                  <m:nor/>
                </m:rPr>
                <w:rPr>
                  <w:rFonts w:ascii="Cambria Math" w:hAnsi="Cambria Math"/>
                  <w:iCs/>
                </w:rPr>
                <m:t>Standard Error of Kurtosis</m:t>
              </m:r>
            </m:den>
          </m:f>
          <m:r>
            <w:rPr>
              <w:rFonts w:ascii="Cambria Math" w:hAnsi="Cambria Math"/>
            </w:rPr>
            <m:t>&gt;2</m:t>
          </m:r>
        </m:oMath>
      </m:oMathPara>
    </w:p>
    <w:p w:rsidR="00107297" w:rsidRPr="00675C93" w:rsidRDefault="00586354" w:rsidP="00107297">
      <w:pPr>
        <w:autoSpaceDE w:val="0"/>
        <w:autoSpaceDN w:val="0"/>
        <w:adjustRightInd w:val="0"/>
      </w:pPr>
      <w:r w:rsidRPr="00D95E73">
        <w:rPr>
          <w:noProof/>
          <w:lang w:eastAsia="en-GB"/>
        </w:rPr>
        <w:drawing>
          <wp:anchor distT="0" distB="0" distL="114300" distR="114300" simplePos="0" relativeHeight="251666432" behindDoc="0" locked="0" layoutInCell="1" allowOverlap="1" wp14:anchorId="3AE1CA0A" wp14:editId="0310AF6A">
            <wp:simplePos x="0" y="0"/>
            <wp:positionH relativeFrom="column">
              <wp:posOffset>3342005</wp:posOffset>
            </wp:positionH>
            <wp:positionV relativeFrom="paragraph">
              <wp:posOffset>12065</wp:posOffset>
            </wp:positionV>
            <wp:extent cx="2729230" cy="2112010"/>
            <wp:effectExtent l="0" t="0" r="0" b="2540"/>
            <wp:wrapSquare wrapText="bothSides"/>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a:extLst>
                        <a:ext uri="{28A0092B-C50C-407E-A947-70E740481C1C}">
                          <a14:useLocalDpi xmlns:a14="http://schemas.microsoft.com/office/drawing/2010/main" val="0"/>
                        </a:ext>
                      </a:extLst>
                    </a:blip>
                    <a:stretch>
                      <a:fillRect/>
                    </a:stretch>
                  </pic:blipFill>
                  <pic:spPr>
                    <a:xfrm>
                      <a:off x="0" y="0"/>
                      <a:ext cx="2729230" cy="2112010"/>
                    </a:xfrm>
                    <a:prstGeom prst="rect">
                      <a:avLst/>
                    </a:prstGeom>
                  </pic:spPr>
                </pic:pic>
              </a:graphicData>
            </a:graphic>
            <wp14:sizeRelH relativeFrom="page">
              <wp14:pctWidth>0</wp14:pctWidth>
            </wp14:sizeRelH>
            <wp14:sizeRelV relativeFrom="page">
              <wp14:pctHeight>0</wp14:pctHeight>
            </wp14:sizeRelV>
          </wp:anchor>
        </w:drawing>
      </w:r>
      <w:proofErr w:type="gramStart"/>
      <w:r w:rsidR="00107297" w:rsidRPr="00675C93">
        <w:t>for</w:t>
      </w:r>
      <w:proofErr w:type="gramEnd"/>
      <w:r w:rsidR="00107297" w:rsidRPr="00675C93">
        <w:t xml:space="preserve"> any group.</w:t>
      </w:r>
      <w:r w:rsidR="00107297">
        <w:t xml:space="preserve">  These values can be obtained using </w:t>
      </w:r>
      <w:proofErr w:type="spellStart"/>
      <w:r w:rsidR="00107297">
        <w:t>Analyze</w:t>
      </w:r>
      <w:proofErr w:type="spellEnd"/>
      <w:r w:rsidR="00107297">
        <w:t xml:space="preserve"> – Descriptive Statistics – Explore.  </w:t>
      </w:r>
      <w:r w:rsidR="00F5656E">
        <w:t>For the example given in the main worksheet</w:t>
      </w:r>
      <w:r w:rsidR="00107297">
        <w:t xml:space="preserve">, select </w:t>
      </w:r>
      <w:r w:rsidR="00107297" w:rsidRPr="00D95E73">
        <w:rPr>
          <w:i/>
        </w:rPr>
        <w:t>Strength</w:t>
      </w:r>
      <w:r w:rsidR="00107297">
        <w:t xml:space="preserve"> for the Dependent List and </w:t>
      </w:r>
      <w:r w:rsidR="00107297" w:rsidRPr="00D95E73">
        <w:rPr>
          <w:i/>
        </w:rPr>
        <w:t>Concentration</w:t>
      </w:r>
      <w:r w:rsidR="00107297">
        <w:t xml:space="preserve"> for the Factor List and select Statistics as shown:</w:t>
      </w:r>
    </w:p>
    <w:p w:rsidR="00107297" w:rsidRDefault="00107297" w:rsidP="00107297">
      <w:pPr>
        <w:autoSpaceDE w:val="0"/>
        <w:autoSpaceDN w:val="0"/>
        <w:adjustRightInd w:val="0"/>
        <w:spacing w:before="120"/>
      </w:pPr>
      <w:r>
        <w:t>The kurtosis and standard error of kurtosis for each group are shown below</w:t>
      </w:r>
      <w:r w:rsidR="00865F09">
        <w:t xml:space="preserve"> (for details of example, see One Way ANOVA worksheet)</w:t>
      </w:r>
      <w:r w:rsidR="006309EA">
        <w:t>.</w:t>
      </w:r>
    </w:p>
    <w:p w:rsidR="00F5656E" w:rsidRDefault="007B649A" w:rsidP="00107297">
      <w:pPr>
        <w:autoSpaceDE w:val="0"/>
        <w:autoSpaceDN w:val="0"/>
        <w:adjustRightInd w:val="0"/>
        <w:spacing w:before="120"/>
      </w:pPr>
      <w:r w:rsidRPr="007B649A">
        <w:t xml:space="preserve">None of these ratios is higher than 2 and the sample size is 24 so, provided the </w:t>
      </w:r>
      <w:proofErr w:type="spellStart"/>
      <w:r w:rsidRPr="007B649A">
        <w:t>Levene’s</w:t>
      </w:r>
      <w:proofErr w:type="spellEnd"/>
      <w:r w:rsidRPr="007B649A">
        <w:t xml:space="preserve"> test is negative, we could still have used the ANOVA test even if the normality assumptions had not been met.</w:t>
      </w:r>
    </w:p>
    <w:tbl>
      <w:tblPr>
        <w:tblStyle w:val="TableGrid"/>
        <w:tblW w:w="7479" w:type="dxa"/>
        <w:tblInd w:w="1134" w:type="dxa"/>
        <w:tblLook w:val="04A0" w:firstRow="1" w:lastRow="0" w:firstColumn="1" w:lastColumn="0" w:noHBand="0" w:noVBand="1"/>
      </w:tblPr>
      <w:tblGrid>
        <w:gridCol w:w="1809"/>
        <w:gridCol w:w="1276"/>
        <w:gridCol w:w="1843"/>
        <w:gridCol w:w="1134"/>
        <w:gridCol w:w="1417"/>
      </w:tblGrid>
      <w:tr w:rsidR="00865F09" w:rsidRPr="00D95E73" w:rsidTr="00865F09">
        <w:tc>
          <w:tcPr>
            <w:tcW w:w="1809" w:type="dxa"/>
          </w:tcPr>
          <w:p w:rsidR="00865F09" w:rsidRPr="00D95E73" w:rsidRDefault="00865F09" w:rsidP="007B649A">
            <w:pPr>
              <w:autoSpaceDE w:val="0"/>
              <w:autoSpaceDN w:val="0"/>
              <w:adjustRightInd w:val="0"/>
              <w:spacing w:before="60" w:after="60"/>
              <w:rPr>
                <w:sz w:val="22"/>
              </w:rPr>
            </w:pPr>
            <w:r w:rsidRPr="00D95E73">
              <w:rPr>
                <w:sz w:val="22"/>
              </w:rPr>
              <w:t>Concentration</w:t>
            </w:r>
          </w:p>
        </w:tc>
        <w:tc>
          <w:tcPr>
            <w:tcW w:w="1276" w:type="dxa"/>
          </w:tcPr>
          <w:p w:rsidR="00865F09" w:rsidRPr="00D95E73" w:rsidRDefault="00865F09" w:rsidP="007B649A">
            <w:pPr>
              <w:autoSpaceDE w:val="0"/>
              <w:autoSpaceDN w:val="0"/>
              <w:adjustRightInd w:val="0"/>
              <w:spacing w:before="60" w:after="60"/>
              <w:rPr>
                <w:sz w:val="22"/>
              </w:rPr>
            </w:pPr>
            <w:r w:rsidRPr="00D95E73">
              <w:rPr>
                <w:sz w:val="22"/>
              </w:rPr>
              <w:t>Kurtosis</w:t>
            </w:r>
          </w:p>
        </w:tc>
        <w:tc>
          <w:tcPr>
            <w:tcW w:w="1843" w:type="dxa"/>
          </w:tcPr>
          <w:p w:rsidR="00865F09" w:rsidRPr="00D95E73" w:rsidRDefault="00865F09" w:rsidP="007B649A">
            <w:pPr>
              <w:autoSpaceDE w:val="0"/>
              <w:autoSpaceDN w:val="0"/>
              <w:adjustRightInd w:val="0"/>
              <w:spacing w:before="60" w:after="60"/>
              <w:rPr>
                <w:sz w:val="22"/>
              </w:rPr>
            </w:pPr>
            <w:r>
              <w:rPr>
                <w:sz w:val="22"/>
              </w:rPr>
              <w:t>Standard e</w:t>
            </w:r>
            <w:r w:rsidRPr="00D95E73">
              <w:rPr>
                <w:sz w:val="22"/>
              </w:rPr>
              <w:t>rror</w:t>
            </w:r>
          </w:p>
        </w:tc>
        <w:tc>
          <w:tcPr>
            <w:tcW w:w="1134" w:type="dxa"/>
          </w:tcPr>
          <w:p w:rsidR="00865F09" w:rsidRPr="00865F09" w:rsidRDefault="00865F09" w:rsidP="007B649A">
            <w:pPr>
              <w:autoSpaceDE w:val="0"/>
              <w:autoSpaceDN w:val="0"/>
              <w:adjustRightInd w:val="0"/>
              <w:spacing w:before="60" w:after="60"/>
              <w:rPr>
                <w:sz w:val="22"/>
              </w:rPr>
            </w:pPr>
            <w:r w:rsidRPr="00865F09">
              <w:rPr>
                <w:sz w:val="22"/>
              </w:rPr>
              <w:t>Ratio</w:t>
            </w:r>
          </w:p>
        </w:tc>
        <w:tc>
          <w:tcPr>
            <w:tcW w:w="1417" w:type="dxa"/>
          </w:tcPr>
          <w:p w:rsidR="00865F09" w:rsidRPr="00D95E73" w:rsidRDefault="00865F09" w:rsidP="007B649A">
            <w:pPr>
              <w:autoSpaceDE w:val="0"/>
              <w:autoSpaceDN w:val="0"/>
              <w:adjustRightInd w:val="0"/>
              <w:spacing w:before="60" w:after="60"/>
              <w:rPr>
                <w:sz w:val="22"/>
              </w:rPr>
            </w:pPr>
            <w:r w:rsidRPr="00D95E73">
              <w:rPr>
                <w:sz w:val="22"/>
              </w:rPr>
              <w:t>Ratio &gt; 2?</w:t>
            </w:r>
          </w:p>
        </w:tc>
      </w:tr>
      <w:tr w:rsidR="00865F09" w:rsidRPr="00D95E73" w:rsidTr="00865F09">
        <w:tc>
          <w:tcPr>
            <w:tcW w:w="1809" w:type="dxa"/>
          </w:tcPr>
          <w:p w:rsidR="00865F09" w:rsidRPr="00D95E73" w:rsidRDefault="00865F09" w:rsidP="007B649A">
            <w:pPr>
              <w:autoSpaceDE w:val="0"/>
              <w:autoSpaceDN w:val="0"/>
              <w:adjustRightInd w:val="0"/>
              <w:spacing w:before="60" w:after="60"/>
              <w:rPr>
                <w:sz w:val="22"/>
              </w:rPr>
            </w:pPr>
            <w:r w:rsidRPr="00D95E73">
              <w:rPr>
                <w:sz w:val="22"/>
              </w:rPr>
              <w:t>5%</w:t>
            </w:r>
          </w:p>
        </w:tc>
        <w:tc>
          <w:tcPr>
            <w:tcW w:w="1276" w:type="dxa"/>
          </w:tcPr>
          <w:p w:rsidR="00865F09" w:rsidRPr="00D95E73" w:rsidRDefault="00865F09" w:rsidP="007B649A">
            <w:pPr>
              <w:autoSpaceDE w:val="0"/>
              <w:autoSpaceDN w:val="0"/>
              <w:adjustRightInd w:val="0"/>
              <w:spacing w:before="60" w:after="60"/>
              <w:rPr>
                <w:sz w:val="22"/>
              </w:rPr>
            </w:pPr>
            <w:r w:rsidRPr="00D95E73">
              <w:rPr>
                <w:sz w:val="22"/>
              </w:rPr>
              <w:t>1.19</w:t>
            </w:r>
          </w:p>
        </w:tc>
        <w:tc>
          <w:tcPr>
            <w:tcW w:w="1843" w:type="dxa"/>
          </w:tcPr>
          <w:p w:rsidR="00865F09" w:rsidRPr="00D95E73" w:rsidRDefault="00865F09" w:rsidP="007B649A">
            <w:pPr>
              <w:autoSpaceDE w:val="0"/>
              <w:autoSpaceDN w:val="0"/>
              <w:adjustRightInd w:val="0"/>
              <w:spacing w:before="60" w:after="60"/>
              <w:rPr>
                <w:sz w:val="22"/>
              </w:rPr>
            </w:pPr>
            <w:r w:rsidRPr="00D95E73">
              <w:rPr>
                <w:sz w:val="22"/>
              </w:rPr>
              <w:t>0.85</w:t>
            </w:r>
          </w:p>
        </w:tc>
        <w:tc>
          <w:tcPr>
            <w:tcW w:w="1134" w:type="dxa"/>
            <w:vAlign w:val="center"/>
          </w:tcPr>
          <w:p w:rsidR="00865F09" w:rsidRPr="00865F09" w:rsidRDefault="00865F09" w:rsidP="00865F09">
            <w:pPr>
              <w:spacing w:before="60" w:after="60"/>
              <w:rPr>
                <w:color w:val="000000"/>
                <w:sz w:val="22"/>
                <w:szCs w:val="22"/>
              </w:rPr>
            </w:pPr>
            <w:r w:rsidRPr="00865F09">
              <w:rPr>
                <w:color w:val="000000"/>
                <w:sz w:val="22"/>
                <w:szCs w:val="22"/>
              </w:rPr>
              <w:t>1.40</w:t>
            </w:r>
          </w:p>
        </w:tc>
        <w:tc>
          <w:tcPr>
            <w:tcW w:w="1417" w:type="dxa"/>
          </w:tcPr>
          <w:p w:rsidR="00865F09" w:rsidRPr="00D95E73" w:rsidRDefault="00865F09" w:rsidP="007B649A">
            <w:pPr>
              <w:autoSpaceDE w:val="0"/>
              <w:autoSpaceDN w:val="0"/>
              <w:adjustRightInd w:val="0"/>
              <w:spacing w:before="60" w:after="60"/>
              <w:rPr>
                <w:sz w:val="22"/>
              </w:rPr>
            </w:pPr>
            <w:r w:rsidRPr="00D95E73">
              <w:rPr>
                <w:sz w:val="22"/>
              </w:rPr>
              <w:t>No</w:t>
            </w:r>
          </w:p>
        </w:tc>
      </w:tr>
      <w:tr w:rsidR="00865F09" w:rsidRPr="00D95E73" w:rsidTr="00865F09">
        <w:tc>
          <w:tcPr>
            <w:tcW w:w="1809" w:type="dxa"/>
          </w:tcPr>
          <w:p w:rsidR="00865F09" w:rsidRPr="00D95E73" w:rsidRDefault="00865F09" w:rsidP="007B649A">
            <w:pPr>
              <w:autoSpaceDE w:val="0"/>
              <w:autoSpaceDN w:val="0"/>
              <w:adjustRightInd w:val="0"/>
              <w:spacing w:before="60" w:after="60"/>
              <w:rPr>
                <w:sz w:val="22"/>
              </w:rPr>
            </w:pPr>
            <w:r w:rsidRPr="00D95E73">
              <w:rPr>
                <w:sz w:val="22"/>
              </w:rPr>
              <w:t>10%</w:t>
            </w:r>
          </w:p>
        </w:tc>
        <w:tc>
          <w:tcPr>
            <w:tcW w:w="1276" w:type="dxa"/>
          </w:tcPr>
          <w:p w:rsidR="00865F09" w:rsidRPr="00D95E73" w:rsidRDefault="00865F09" w:rsidP="007B649A">
            <w:pPr>
              <w:autoSpaceDE w:val="0"/>
              <w:autoSpaceDN w:val="0"/>
              <w:adjustRightInd w:val="0"/>
              <w:spacing w:before="60" w:after="60"/>
              <w:rPr>
                <w:sz w:val="22"/>
              </w:rPr>
            </w:pPr>
            <w:r w:rsidRPr="00D95E73">
              <w:rPr>
                <w:sz w:val="22"/>
              </w:rPr>
              <w:t>-0.22</w:t>
            </w:r>
          </w:p>
        </w:tc>
        <w:tc>
          <w:tcPr>
            <w:tcW w:w="1843" w:type="dxa"/>
          </w:tcPr>
          <w:p w:rsidR="00865F09" w:rsidRPr="00D95E73" w:rsidRDefault="00865F09" w:rsidP="007B649A">
            <w:pPr>
              <w:autoSpaceDE w:val="0"/>
              <w:autoSpaceDN w:val="0"/>
              <w:adjustRightInd w:val="0"/>
              <w:spacing w:before="60" w:after="60"/>
              <w:rPr>
                <w:sz w:val="22"/>
              </w:rPr>
            </w:pPr>
            <w:r w:rsidRPr="00D95E73">
              <w:rPr>
                <w:sz w:val="22"/>
              </w:rPr>
              <w:t>0.85</w:t>
            </w:r>
          </w:p>
        </w:tc>
        <w:tc>
          <w:tcPr>
            <w:tcW w:w="1134" w:type="dxa"/>
            <w:vAlign w:val="center"/>
          </w:tcPr>
          <w:p w:rsidR="00865F09" w:rsidRPr="00865F09" w:rsidRDefault="00865F09" w:rsidP="00865F09">
            <w:pPr>
              <w:spacing w:before="60" w:after="60"/>
              <w:rPr>
                <w:color w:val="000000"/>
                <w:sz w:val="22"/>
                <w:szCs w:val="22"/>
              </w:rPr>
            </w:pPr>
            <w:r w:rsidRPr="00865F09">
              <w:rPr>
                <w:color w:val="000000"/>
                <w:sz w:val="22"/>
                <w:szCs w:val="22"/>
              </w:rPr>
              <w:t>0.26</w:t>
            </w:r>
          </w:p>
        </w:tc>
        <w:tc>
          <w:tcPr>
            <w:tcW w:w="1417" w:type="dxa"/>
          </w:tcPr>
          <w:p w:rsidR="00865F09" w:rsidRPr="00D95E73" w:rsidRDefault="00865F09" w:rsidP="007B649A">
            <w:pPr>
              <w:autoSpaceDE w:val="0"/>
              <w:autoSpaceDN w:val="0"/>
              <w:adjustRightInd w:val="0"/>
              <w:spacing w:before="60" w:after="60"/>
              <w:rPr>
                <w:sz w:val="22"/>
              </w:rPr>
            </w:pPr>
            <w:r w:rsidRPr="00D95E73">
              <w:rPr>
                <w:sz w:val="22"/>
              </w:rPr>
              <w:t>No</w:t>
            </w:r>
          </w:p>
        </w:tc>
      </w:tr>
      <w:tr w:rsidR="00865F09" w:rsidRPr="00D95E73" w:rsidTr="00865F09">
        <w:tc>
          <w:tcPr>
            <w:tcW w:w="1809" w:type="dxa"/>
          </w:tcPr>
          <w:p w:rsidR="00865F09" w:rsidRPr="00D95E73" w:rsidRDefault="00865F09" w:rsidP="007B649A">
            <w:pPr>
              <w:autoSpaceDE w:val="0"/>
              <w:autoSpaceDN w:val="0"/>
              <w:adjustRightInd w:val="0"/>
              <w:spacing w:before="60" w:after="60"/>
              <w:rPr>
                <w:sz w:val="22"/>
              </w:rPr>
            </w:pPr>
            <w:r w:rsidRPr="00D95E73">
              <w:rPr>
                <w:sz w:val="22"/>
              </w:rPr>
              <w:t>15%</w:t>
            </w:r>
          </w:p>
        </w:tc>
        <w:tc>
          <w:tcPr>
            <w:tcW w:w="1276" w:type="dxa"/>
          </w:tcPr>
          <w:p w:rsidR="00865F09" w:rsidRPr="00D95E73" w:rsidRDefault="00865F09" w:rsidP="007B649A">
            <w:pPr>
              <w:autoSpaceDE w:val="0"/>
              <w:autoSpaceDN w:val="0"/>
              <w:adjustRightInd w:val="0"/>
              <w:spacing w:before="60" w:after="60"/>
              <w:rPr>
                <w:sz w:val="22"/>
              </w:rPr>
            </w:pPr>
            <w:r w:rsidRPr="00D95E73">
              <w:rPr>
                <w:sz w:val="22"/>
              </w:rPr>
              <w:t>-0.94</w:t>
            </w:r>
          </w:p>
        </w:tc>
        <w:tc>
          <w:tcPr>
            <w:tcW w:w="1843" w:type="dxa"/>
          </w:tcPr>
          <w:p w:rsidR="00865F09" w:rsidRPr="00D95E73" w:rsidRDefault="00865F09" w:rsidP="007B649A">
            <w:pPr>
              <w:autoSpaceDE w:val="0"/>
              <w:autoSpaceDN w:val="0"/>
              <w:adjustRightInd w:val="0"/>
              <w:spacing w:before="60" w:after="60"/>
              <w:rPr>
                <w:sz w:val="22"/>
              </w:rPr>
            </w:pPr>
            <w:r w:rsidRPr="00D95E73">
              <w:rPr>
                <w:sz w:val="22"/>
              </w:rPr>
              <w:t>0.85</w:t>
            </w:r>
          </w:p>
        </w:tc>
        <w:tc>
          <w:tcPr>
            <w:tcW w:w="1134" w:type="dxa"/>
            <w:vAlign w:val="center"/>
          </w:tcPr>
          <w:p w:rsidR="00865F09" w:rsidRPr="00865F09" w:rsidRDefault="00865F09" w:rsidP="00865F09">
            <w:pPr>
              <w:spacing w:before="60" w:after="60"/>
              <w:rPr>
                <w:color w:val="000000"/>
                <w:sz w:val="22"/>
                <w:szCs w:val="22"/>
              </w:rPr>
            </w:pPr>
            <w:r w:rsidRPr="00865F09">
              <w:rPr>
                <w:color w:val="000000"/>
                <w:sz w:val="22"/>
                <w:szCs w:val="22"/>
              </w:rPr>
              <w:t>1.11</w:t>
            </w:r>
          </w:p>
        </w:tc>
        <w:tc>
          <w:tcPr>
            <w:tcW w:w="1417" w:type="dxa"/>
          </w:tcPr>
          <w:p w:rsidR="00865F09" w:rsidRPr="00D95E73" w:rsidRDefault="00865F09" w:rsidP="007B649A">
            <w:pPr>
              <w:autoSpaceDE w:val="0"/>
              <w:autoSpaceDN w:val="0"/>
              <w:adjustRightInd w:val="0"/>
              <w:spacing w:before="60" w:after="60"/>
              <w:rPr>
                <w:sz w:val="22"/>
              </w:rPr>
            </w:pPr>
            <w:r w:rsidRPr="00D95E73">
              <w:rPr>
                <w:sz w:val="22"/>
              </w:rPr>
              <w:t>No</w:t>
            </w:r>
          </w:p>
        </w:tc>
      </w:tr>
      <w:tr w:rsidR="00865F09" w:rsidRPr="00D95E73" w:rsidTr="00865F09">
        <w:tc>
          <w:tcPr>
            <w:tcW w:w="1809" w:type="dxa"/>
          </w:tcPr>
          <w:p w:rsidR="00865F09" w:rsidRPr="00D95E73" w:rsidRDefault="00865F09" w:rsidP="007B649A">
            <w:pPr>
              <w:autoSpaceDE w:val="0"/>
              <w:autoSpaceDN w:val="0"/>
              <w:adjustRightInd w:val="0"/>
              <w:spacing w:before="60" w:after="60"/>
              <w:rPr>
                <w:sz w:val="22"/>
              </w:rPr>
            </w:pPr>
            <w:r w:rsidRPr="00D95E73">
              <w:rPr>
                <w:sz w:val="22"/>
              </w:rPr>
              <w:t>20%</w:t>
            </w:r>
          </w:p>
        </w:tc>
        <w:tc>
          <w:tcPr>
            <w:tcW w:w="1276" w:type="dxa"/>
          </w:tcPr>
          <w:p w:rsidR="00865F09" w:rsidRPr="00D95E73" w:rsidRDefault="00865F09" w:rsidP="007B649A">
            <w:pPr>
              <w:autoSpaceDE w:val="0"/>
              <w:autoSpaceDN w:val="0"/>
              <w:adjustRightInd w:val="0"/>
              <w:spacing w:before="60" w:after="60"/>
              <w:rPr>
                <w:sz w:val="22"/>
              </w:rPr>
            </w:pPr>
            <w:r>
              <w:rPr>
                <w:sz w:val="22"/>
              </w:rPr>
              <w:t>0.32</w:t>
            </w:r>
          </w:p>
        </w:tc>
        <w:tc>
          <w:tcPr>
            <w:tcW w:w="1843" w:type="dxa"/>
          </w:tcPr>
          <w:p w:rsidR="00865F09" w:rsidRPr="00D95E73" w:rsidRDefault="00865F09" w:rsidP="007B649A">
            <w:pPr>
              <w:autoSpaceDE w:val="0"/>
              <w:autoSpaceDN w:val="0"/>
              <w:adjustRightInd w:val="0"/>
              <w:spacing w:before="60" w:after="60"/>
              <w:rPr>
                <w:sz w:val="22"/>
              </w:rPr>
            </w:pPr>
            <w:r>
              <w:rPr>
                <w:sz w:val="22"/>
              </w:rPr>
              <w:t>0.85</w:t>
            </w:r>
          </w:p>
        </w:tc>
        <w:tc>
          <w:tcPr>
            <w:tcW w:w="1134" w:type="dxa"/>
            <w:vAlign w:val="center"/>
          </w:tcPr>
          <w:p w:rsidR="00865F09" w:rsidRPr="00865F09" w:rsidRDefault="00865F09" w:rsidP="00865F09">
            <w:pPr>
              <w:spacing w:before="60" w:after="60"/>
              <w:rPr>
                <w:color w:val="000000"/>
                <w:sz w:val="22"/>
                <w:szCs w:val="22"/>
              </w:rPr>
            </w:pPr>
            <w:r w:rsidRPr="00865F09">
              <w:rPr>
                <w:color w:val="000000"/>
                <w:sz w:val="22"/>
                <w:szCs w:val="22"/>
              </w:rPr>
              <w:t>0.38</w:t>
            </w:r>
          </w:p>
        </w:tc>
        <w:tc>
          <w:tcPr>
            <w:tcW w:w="1417" w:type="dxa"/>
          </w:tcPr>
          <w:p w:rsidR="00865F09" w:rsidRPr="00D95E73" w:rsidRDefault="00865F09" w:rsidP="007B649A">
            <w:pPr>
              <w:autoSpaceDE w:val="0"/>
              <w:autoSpaceDN w:val="0"/>
              <w:adjustRightInd w:val="0"/>
              <w:spacing w:before="60" w:after="60"/>
              <w:rPr>
                <w:sz w:val="22"/>
              </w:rPr>
            </w:pPr>
            <w:r>
              <w:rPr>
                <w:sz w:val="22"/>
              </w:rPr>
              <w:t>No</w:t>
            </w:r>
          </w:p>
        </w:tc>
      </w:tr>
    </w:tbl>
    <w:p w:rsidR="006309EA" w:rsidRDefault="006309EA" w:rsidP="006309EA"/>
    <w:p w:rsidR="00107297" w:rsidRPr="00EC0C57" w:rsidRDefault="00107297" w:rsidP="00F5656E">
      <w:pPr>
        <w:pStyle w:val="Heading1"/>
      </w:pPr>
      <w:r w:rsidRPr="00EC0C57">
        <w:lastRenderedPageBreak/>
        <w:t>When assumptions and robust exceptions are not met</w:t>
      </w:r>
    </w:p>
    <w:p w:rsidR="00107297" w:rsidRPr="001543DE" w:rsidRDefault="00107297" w:rsidP="00107297">
      <w:pPr>
        <w:autoSpaceDE w:val="0"/>
        <w:autoSpaceDN w:val="0"/>
        <w:adjustRightInd w:val="0"/>
      </w:pPr>
      <w:r>
        <w:t xml:space="preserve">If the </w:t>
      </w:r>
      <w:r w:rsidRPr="006309EA">
        <w:rPr>
          <w:b/>
        </w:rPr>
        <w:t>equality of variances assumption is not met</w:t>
      </w:r>
      <w:r>
        <w:t xml:space="preserve">, </w:t>
      </w:r>
      <w:r w:rsidRPr="001543DE">
        <w:t xml:space="preserve">the </w:t>
      </w:r>
      <w:r w:rsidRPr="006904AB">
        <w:rPr>
          <w:b/>
          <w:bCs/>
        </w:rPr>
        <w:t>Brown-Forsythe</w:t>
      </w:r>
      <w:r w:rsidRPr="001543DE">
        <w:t xml:space="preserve"> </w:t>
      </w:r>
      <w:r>
        <w:t>and</w:t>
      </w:r>
      <w:r w:rsidRPr="001543DE">
        <w:t xml:space="preserve"> </w:t>
      </w:r>
      <w:r w:rsidRPr="006904AB">
        <w:rPr>
          <w:b/>
          <w:bCs/>
        </w:rPr>
        <w:t>Welch</w:t>
      </w:r>
      <w:r w:rsidRPr="001543DE">
        <w:t xml:space="preserve"> test</w:t>
      </w:r>
      <w:r>
        <w:t xml:space="preserve">s can be used.  </w:t>
      </w:r>
      <w:r w:rsidR="00865F09">
        <w:t>T</w:t>
      </w:r>
      <w:r w:rsidR="00865F09" w:rsidRPr="00865F09">
        <w:t xml:space="preserve">he Welch test is more powerful except where there is an extreme mean with a large variance when the Brown-Forsyth </w:t>
      </w:r>
      <w:r w:rsidR="00865F09">
        <w:t xml:space="preserve">test </w:t>
      </w:r>
      <w:r w:rsidR="00865F09" w:rsidRPr="00865F09">
        <w:t>is better</w:t>
      </w:r>
      <w:r w:rsidR="00865F09">
        <w:t xml:space="preserve">. </w:t>
      </w:r>
      <w:r>
        <w:t xml:space="preserve">These </w:t>
      </w:r>
      <w:r w:rsidR="006309EA">
        <w:t xml:space="preserve">tests </w:t>
      </w:r>
      <w:r>
        <w:t>are included within the ANOVA analysis</w:t>
      </w:r>
      <w:r w:rsidR="006309EA">
        <w:t xml:space="preserve"> in SPSS</w:t>
      </w:r>
      <w:r>
        <w:t>:</w:t>
      </w:r>
    </w:p>
    <w:p w:rsidR="00107297" w:rsidRDefault="00107297" w:rsidP="00F5656E">
      <w:pPr>
        <w:pStyle w:val="ListParagraph"/>
        <w:numPr>
          <w:ilvl w:val="0"/>
          <w:numId w:val="11"/>
        </w:numPr>
        <w:autoSpaceDE w:val="0"/>
        <w:autoSpaceDN w:val="0"/>
        <w:adjustRightInd w:val="0"/>
        <w:ind w:left="284" w:hanging="284"/>
        <w:contextualSpacing w:val="0"/>
      </w:pPr>
      <w:r w:rsidRPr="001543DE">
        <w:t xml:space="preserve">Select </w:t>
      </w:r>
      <w:proofErr w:type="spellStart"/>
      <w:r>
        <w:t>Analyze</w:t>
      </w:r>
      <w:proofErr w:type="spellEnd"/>
      <w:r>
        <w:t xml:space="preserve"> – Compare Means – One Way </w:t>
      </w:r>
      <w:r w:rsidRPr="001543DE">
        <w:t>ANOVA</w:t>
      </w:r>
      <w:r>
        <w:t>…</w:t>
      </w:r>
      <w:r w:rsidRPr="001543DE">
        <w:t xml:space="preserve"> </w:t>
      </w:r>
      <w:r>
        <w:t>and click on Options… button then</w:t>
      </w:r>
      <w:r w:rsidRPr="001543DE">
        <w:t xml:space="preserve"> select the </w:t>
      </w:r>
      <w:r w:rsidRPr="001543DE">
        <w:rPr>
          <w:b/>
          <w:bCs/>
        </w:rPr>
        <w:t>Brown-Forsythe</w:t>
      </w:r>
      <w:r w:rsidRPr="001543DE">
        <w:t xml:space="preserve"> and </w:t>
      </w:r>
      <w:r w:rsidRPr="001543DE">
        <w:rPr>
          <w:b/>
          <w:bCs/>
        </w:rPr>
        <w:t xml:space="preserve">Welch </w:t>
      </w:r>
      <w:r w:rsidRPr="001543DE">
        <w:t>options</w:t>
      </w:r>
    </w:p>
    <w:p w:rsidR="00107297" w:rsidRDefault="00107297" w:rsidP="00F5656E">
      <w:pPr>
        <w:pStyle w:val="ListParagraph"/>
        <w:numPr>
          <w:ilvl w:val="0"/>
          <w:numId w:val="11"/>
        </w:numPr>
        <w:autoSpaceDE w:val="0"/>
        <w:autoSpaceDN w:val="0"/>
        <w:adjustRightInd w:val="0"/>
        <w:ind w:left="284" w:hanging="284"/>
        <w:contextualSpacing w:val="0"/>
      </w:pPr>
      <w:r>
        <w:t xml:space="preserve">If the result is significant, for post hoc testing, use the </w:t>
      </w:r>
      <w:r w:rsidRPr="00125C52">
        <w:rPr>
          <w:b/>
        </w:rPr>
        <w:t>Games-Howell</w:t>
      </w:r>
      <w:r>
        <w:t xml:space="preserve"> option</w:t>
      </w:r>
    </w:p>
    <w:p w:rsidR="00107297" w:rsidRPr="006904AB" w:rsidRDefault="00F5656E" w:rsidP="00107297">
      <w:pPr>
        <w:autoSpaceDE w:val="0"/>
        <w:autoSpaceDN w:val="0"/>
        <w:adjustRightInd w:val="0"/>
      </w:pPr>
      <w:r w:rsidRPr="00272C73">
        <w:rPr>
          <w:noProof/>
          <w:lang w:eastAsia="en-GB"/>
        </w:rPr>
        <w:drawing>
          <wp:anchor distT="0" distB="0" distL="114300" distR="114300" simplePos="0" relativeHeight="251667456" behindDoc="0" locked="0" layoutInCell="1" allowOverlap="1" wp14:anchorId="3F84AE86" wp14:editId="60280F16">
            <wp:simplePos x="0" y="0"/>
            <wp:positionH relativeFrom="column">
              <wp:posOffset>2399665</wp:posOffset>
            </wp:positionH>
            <wp:positionV relativeFrom="paragraph">
              <wp:posOffset>405130</wp:posOffset>
            </wp:positionV>
            <wp:extent cx="3733165" cy="2865755"/>
            <wp:effectExtent l="0" t="0" r="635" b="0"/>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cstate="print">
                      <a:extLst>
                        <a:ext uri="{28A0092B-C50C-407E-A947-70E740481C1C}">
                          <a14:useLocalDpi xmlns:a14="http://schemas.microsoft.com/office/drawing/2010/main" val="0"/>
                        </a:ext>
                      </a:extLst>
                    </a:blip>
                    <a:stretch>
                      <a:fillRect/>
                    </a:stretch>
                  </pic:blipFill>
                  <pic:spPr>
                    <a:xfrm>
                      <a:off x="0" y="0"/>
                      <a:ext cx="3733165" cy="2865755"/>
                    </a:xfrm>
                    <a:prstGeom prst="rect">
                      <a:avLst/>
                    </a:prstGeom>
                  </pic:spPr>
                </pic:pic>
              </a:graphicData>
            </a:graphic>
            <wp14:sizeRelH relativeFrom="page">
              <wp14:pctWidth>0</wp14:pctWidth>
            </wp14:sizeRelH>
            <wp14:sizeRelV relativeFrom="page">
              <wp14:pctHeight>0</wp14:pctHeight>
            </wp14:sizeRelV>
          </wp:anchor>
        </w:drawing>
      </w:r>
      <w:r w:rsidR="00107297" w:rsidRPr="006904AB">
        <w:t xml:space="preserve">If </w:t>
      </w:r>
      <w:r w:rsidR="00107297" w:rsidRPr="006309EA">
        <w:rPr>
          <w:b/>
        </w:rPr>
        <w:t>normality assumptions and their robust exceptions are in doubt</w:t>
      </w:r>
      <w:r w:rsidR="00107297">
        <w:t xml:space="preserve">, use the </w:t>
      </w:r>
      <w:proofErr w:type="spellStart"/>
      <w:r w:rsidR="00107297" w:rsidRPr="006904AB">
        <w:rPr>
          <w:b/>
        </w:rPr>
        <w:t>Kruskal</w:t>
      </w:r>
      <w:proofErr w:type="spellEnd"/>
      <w:r w:rsidR="00107297" w:rsidRPr="006904AB">
        <w:rPr>
          <w:b/>
        </w:rPr>
        <w:t>-Wallis</w:t>
      </w:r>
      <w:r w:rsidR="00107297">
        <w:t xml:space="preserve"> </w:t>
      </w:r>
      <w:r w:rsidR="00107297" w:rsidRPr="006904AB">
        <w:t xml:space="preserve">or </w:t>
      </w:r>
      <w:proofErr w:type="spellStart"/>
      <w:r w:rsidR="00107297" w:rsidRPr="006904AB">
        <w:rPr>
          <w:b/>
        </w:rPr>
        <w:t>Jonckheere-Terpstra</w:t>
      </w:r>
      <w:proofErr w:type="spellEnd"/>
      <w:r w:rsidR="00107297">
        <w:t xml:space="preserve"> </w:t>
      </w:r>
      <w:r w:rsidR="00107297" w:rsidRPr="006904AB">
        <w:rPr>
          <w:bCs/>
        </w:rPr>
        <w:t>nonparametric</w:t>
      </w:r>
      <w:r w:rsidR="00107297" w:rsidRPr="006904AB">
        <w:t xml:space="preserve"> test</w:t>
      </w:r>
      <w:r w:rsidR="006309EA">
        <w:t xml:space="preserve">s. </w:t>
      </w:r>
      <w:proofErr w:type="spellStart"/>
      <w:r w:rsidR="006309EA">
        <w:t>Kruskal</w:t>
      </w:r>
      <w:proofErr w:type="spellEnd"/>
      <w:r w:rsidR="006309EA">
        <w:t xml:space="preserve">-Wallis is appropriate where there is no suspected order in the difference of means. If there is a suspected order (as in our example), use </w:t>
      </w:r>
      <w:proofErr w:type="spellStart"/>
      <w:r w:rsidR="006309EA" w:rsidRPr="00272C73">
        <w:t>Jonckheere-Terpstra</w:t>
      </w:r>
      <w:proofErr w:type="spellEnd"/>
      <w:r w:rsidR="006309EA">
        <w:t>:</w:t>
      </w:r>
    </w:p>
    <w:p w:rsidR="00107297" w:rsidRDefault="00107297" w:rsidP="006309EA">
      <w:pPr>
        <w:pStyle w:val="ListParagraph"/>
        <w:numPr>
          <w:ilvl w:val="0"/>
          <w:numId w:val="11"/>
        </w:numPr>
        <w:autoSpaceDE w:val="0"/>
        <w:autoSpaceDN w:val="0"/>
        <w:adjustRightInd w:val="0"/>
        <w:ind w:left="284" w:hanging="284"/>
        <w:contextualSpacing w:val="0"/>
      </w:pPr>
      <w:r w:rsidRPr="006904AB">
        <w:t xml:space="preserve">Select </w:t>
      </w:r>
      <w:proofErr w:type="spellStart"/>
      <w:r w:rsidRPr="006904AB">
        <w:t>Analyze</w:t>
      </w:r>
      <w:proofErr w:type="spellEnd"/>
      <w:r w:rsidRPr="006904AB">
        <w:t xml:space="preserve"> – </w:t>
      </w:r>
      <w:proofErr w:type="spellStart"/>
      <w:r w:rsidRPr="006904AB">
        <w:t>Nonparamet</w:t>
      </w:r>
      <w:r>
        <w:t>ic</w:t>
      </w:r>
      <w:proofErr w:type="spellEnd"/>
      <w:r>
        <w:t xml:space="preserve"> Tests – Independent Samples…</w:t>
      </w:r>
    </w:p>
    <w:p w:rsidR="00107297" w:rsidRDefault="00107297" w:rsidP="006309EA">
      <w:pPr>
        <w:pStyle w:val="ListParagraph"/>
        <w:numPr>
          <w:ilvl w:val="0"/>
          <w:numId w:val="11"/>
        </w:numPr>
        <w:autoSpaceDE w:val="0"/>
        <w:autoSpaceDN w:val="0"/>
        <w:adjustRightInd w:val="0"/>
        <w:ind w:left="284" w:hanging="284"/>
        <w:contextualSpacing w:val="0"/>
      </w:pPr>
      <w:r>
        <w:t>S</w:t>
      </w:r>
      <w:r w:rsidRPr="006904AB">
        <w:t>elect the Settings tabs</w:t>
      </w:r>
      <w:r>
        <w:t>, the Choose Test option from the Select an item list on the left</w:t>
      </w:r>
      <w:r w:rsidRPr="006904AB">
        <w:t xml:space="preserve"> </w:t>
      </w:r>
      <w:r>
        <w:t xml:space="preserve">and select </w:t>
      </w:r>
      <w:r w:rsidRPr="006904AB">
        <w:t>Customise Tests</w:t>
      </w:r>
    </w:p>
    <w:p w:rsidR="00107297" w:rsidRDefault="00107297" w:rsidP="006309EA">
      <w:pPr>
        <w:pStyle w:val="ListParagraph"/>
        <w:numPr>
          <w:ilvl w:val="0"/>
          <w:numId w:val="11"/>
        </w:numPr>
        <w:autoSpaceDE w:val="0"/>
        <w:autoSpaceDN w:val="0"/>
        <w:adjustRightInd w:val="0"/>
        <w:ind w:left="284" w:hanging="284"/>
        <w:contextualSpacing w:val="0"/>
      </w:pPr>
      <w:r>
        <w:t xml:space="preserve">Select </w:t>
      </w:r>
      <w:r w:rsidR="006309EA">
        <w:t xml:space="preserve">one of </w:t>
      </w:r>
      <w:r>
        <w:t>these tests as shown on the right</w:t>
      </w:r>
    </w:p>
    <w:p w:rsidR="00107297" w:rsidRDefault="00107297" w:rsidP="00F5656E">
      <w:pPr>
        <w:pStyle w:val="ListParagraph"/>
        <w:numPr>
          <w:ilvl w:val="0"/>
          <w:numId w:val="11"/>
        </w:numPr>
        <w:autoSpaceDE w:val="0"/>
        <w:autoSpaceDN w:val="0"/>
        <w:adjustRightInd w:val="0"/>
        <w:spacing w:after="0"/>
        <w:ind w:left="284" w:hanging="284"/>
        <w:contextualSpacing w:val="0"/>
      </w:pPr>
      <w:r>
        <w:t xml:space="preserve">If the result is significant, for post hoc testing, </w:t>
      </w:r>
      <w:r w:rsidR="006309EA">
        <w:t>use the automatic Model Viewer facility</w:t>
      </w:r>
      <w:r w:rsidR="00865F09">
        <w:t xml:space="preserve"> in SPSS – see the </w:t>
      </w:r>
      <w:proofErr w:type="spellStart"/>
      <w:r w:rsidR="00865F09">
        <w:t>Kruskall</w:t>
      </w:r>
      <w:proofErr w:type="spellEnd"/>
      <w:r w:rsidR="00865F09">
        <w:t>-Wallis worksheet.</w:t>
      </w:r>
    </w:p>
    <w:p w:rsidR="00107297" w:rsidRPr="0075018E" w:rsidRDefault="00107297" w:rsidP="00F5656E">
      <w:pPr>
        <w:pStyle w:val="Heading1"/>
        <w:keepNext/>
      </w:pPr>
      <w:r>
        <w:t>Comments</w:t>
      </w:r>
    </w:p>
    <w:p w:rsidR="00107297" w:rsidRPr="007B649A" w:rsidRDefault="00107297" w:rsidP="007B649A">
      <w:pPr>
        <w:pStyle w:val="BodyText"/>
        <w:numPr>
          <w:ilvl w:val="0"/>
          <w:numId w:val="3"/>
        </w:numPr>
        <w:spacing w:after="120" w:line="264" w:lineRule="auto"/>
        <w:ind w:left="284" w:hanging="284"/>
        <w:rPr>
          <w:rFonts w:ascii="Arial" w:hAnsi="Arial" w:cs="Arial"/>
          <w:b w:val="0"/>
          <w:sz w:val="22"/>
          <w:szCs w:val="24"/>
        </w:rPr>
      </w:pPr>
      <w:r w:rsidRPr="007B649A">
        <w:rPr>
          <w:rFonts w:ascii="Arial" w:hAnsi="Arial" w:cs="Arial"/>
          <w:b w:val="0"/>
          <w:sz w:val="22"/>
          <w:szCs w:val="24"/>
        </w:rPr>
        <w:t xml:space="preserve">Multiple t-tests should </w:t>
      </w:r>
      <w:r w:rsidRPr="007B649A">
        <w:rPr>
          <w:rFonts w:ascii="Arial" w:hAnsi="Arial" w:cs="Arial"/>
          <w:sz w:val="22"/>
          <w:szCs w:val="24"/>
        </w:rPr>
        <w:t>not</w:t>
      </w:r>
      <w:r w:rsidRPr="007B649A">
        <w:rPr>
          <w:rFonts w:ascii="Arial" w:hAnsi="Arial" w:cs="Arial"/>
          <w:b w:val="0"/>
          <w:sz w:val="22"/>
          <w:szCs w:val="24"/>
        </w:rPr>
        <w:t xml:space="preserve"> be performed before a one-way ANOVA, although post-hoc tests are, in essence, t-tests</w:t>
      </w:r>
    </w:p>
    <w:p w:rsidR="00107297" w:rsidRPr="007B649A" w:rsidRDefault="00107297" w:rsidP="007B649A">
      <w:pPr>
        <w:pStyle w:val="BodyText"/>
        <w:numPr>
          <w:ilvl w:val="0"/>
          <w:numId w:val="3"/>
        </w:numPr>
        <w:spacing w:line="264" w:lineRule="auto"/>
        <w:ind w:left="284" w:hanging="284"/>
        <w:rPr>
          <w:rFonts w:ascii="Arial" w:hAnsi="Arial" w:cs="Arial"/>
          <w:b w:val="0"/>
          <w:sz w:val="22"/>
          <w:szCs w:val="24"/>
        </w:rPr>
      </w:pPr>
      <w:r w:rsidRPr="007B649A">
        <w:rPr>
          <w:rFonts w:ascii="Arial" w:hAnsi="Arial" w:cs="Arial"/>
          <w:b w:val="0"/>
          <w:sz w:val="22"/>
          <w:szCs w:val="24"/>
        </w:rPr>
        <w:t>It is possible to perform a one-way ANOVA with different sample sizes per group</w:t>
      </w:r>
    </w:p>
    <w:p w:rsidR="00107297" w:rsidRPr="004635E3" w:rsidRDefault="00107297" w:rsidP="006309EA">
      <w:pPr>
        <w:pStyle w:val="Heading1"/>
        <w:spacing w:before="480"/>
      </w:pPr>
      <w:r w:rsidRPr="004635E3">
        <w:t>Reference</w:t>
      </w:r>
      <w:r>
        <w:t>s</w:t>
      </w:r>
    </w:p>
    <w:p w:rsidR="00107297" w:rsidRDefault="00107297" w:rsidP="00107297">
      <w:pPr>
        <w:ind w:left="567" w:hanging="567"/>
      </w:pPr>
      <w:r w:rsidRPr="004635E3">
        <w:t xml:space="preserve">Field, A. (2009) </w:t>
      </w:r>
      <w:r w:rsidRPr="004635E3">
        <w:rPr>
          <w:i/>
        </w:rPr>
        <w:t>Di</w:t>
      </w:r>
      <w:r>
        <w:rPr>
          <w:i/>
        </w:rPr>
        <w:t>scovering Statistics using SPSS</w:t>
      </w:r>
      <w:r w:rsidRPr="004635E3">
        <w:rPr>
          <w:i/>
        </w:rPr>
        <w:t xml:space="preserve"> (And sex and drugs and rock 'n' roll)</w:t>
      </w:r>
      <w:r>
        <w:t>, 3</w:t>
      </w:r>
      <w:r w:rsidRPr="004635E3">
        <w:rPr>
          <w:vertAlign w:val="superscript"/>
        </w:rPr>
        <w:t>rd</w:t>
      </w:r>
      <w:r>
        <w:t xml:space="preserve"> ed., London: SAGE</w:t>
      </w:r>
      <w:r w:rsidR="007B649A">
        <w:t>.</w:t>
      </w:r>
    </w:p>
    <w:p w:rsidR="00EC2C13" w:rsidRPr="00EC2C13" w:rsidRDefault="007B649A" w:rsidP="00F5656E">
      <w:pPr>
        <w:ind w:left="567" w:hanging="567"/>
      </w:pPr>
      <w:r>
        <w:t>Glass, G. V., Peckham, P. D. and</w:t>
      </w:r>
      <w:r w:rsidR="00107297" w:rsidRPr="006249AE">
        <w:t xml:space="preserve"> Sanders, J. R. (1972) Consequences of failure to meet assumptions underlying the fixed effects analyses of variance and covariance, </w:t>
      </w:r>
      <w:r w:rsidR="00107297" w:rsidRPr="006249AE">
        <w:rPr>
          <w:i/>
          <w:iCs/>
        </w:rPr>
        <w:t>Review of Educational Research</w:t>
      </w:r>
      <w:r w:rsidR="00107297" w:rsidRPr="006249AE">
        <w:t xml:space="preserve">, 42(3), </w:t>
      </w:r>
      <w:r>
        <w:t xml:space="preserve">pp. </w:t>
      </w:r>
      <w:r w:rsidR="00107297" w:rsidRPr="006249AE">
        <w:t>237-288</w:t>
      </w:r>
      <w:r>
        <w:t>.</w:t>
      </w:r>
    </w:p>
    <w:sectPr w:rsidR="00EC2C13" w:rsidRPr="00EC2C13" w:rsidSect="000734E8">
      <w:headerReference w:type="default" r:id="rId10"/>
      <w:footerReference w:type="default" r:id="rId11"/>
      <w:headerReference w:type="first" r:id="rId12"/>
      <w:footerReference w:type="first" r:id="rId13"/>
      <w:pgSz w:w="11906" w:h="16838" w:code="9"/>
      <w:pgMar w:top="1440" w:right="1134" w:bottom="1701" w:left="1134" w:header="709" w:footer="709"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6C13CD" w:rsidRDefault="006C13CD" w:rsidP="00A76DB3">
      <w:r>
        <w:separator/>
      </w:r>
    </w:p>
    <w:p w:rsidR="006C13CD" w:rsidRDefault="006C13CD" w:rsidP="00A76DB3"/>
    <w:p w:rsidR="006C13CD" w:rsidRDefault="006C13CD" w:rsidP="00A76DB3"/>
  </w:endnote>
  <w:endnote w:type="continuationSeparator" w:id="0">
    <w:p w:rsidR="006C13CD" w:rsidRDefault="006C13CD" w:rsidP="00A76DB3">
      <w:r>
        <w:continuationSeparator/>
      </w:r>
    </w:p>
    <w:p w:rsidR="006C13CD" w:rsidRDefault="006C13CD" w:rsidP="00A76DB3"/>
    <w:p w:rsidR="006C13CD" w:rsidRDefault="006C13CD" w:rsidP="00A76DB3"/>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2A87" w:usb1="00000000" w:usb2="00000000"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20002A87" w:usb1="00000000" w:usb2="00000000" w:usb3="00000000" w:csb0="000001FF" w:csb1="00000000"/>
  </w:font>
  <w:font w:name="Tahoma">
    <w:panose1 w:val="020B0604030504040204"/>
    <w:charset w:val="00"/>
    <w:family w:val="swiss"/>
    <w:pitch w:val="variable"/>
    <w:sig w:usb0="E1002EFF" w:usb1="C000605B" w:usb2="00000029" w:usb3="00000000" w:csb0="000101FF" w:csb1="00000000"/>
  </w:font>
  <w:font w:name="Gill Sans MT">
    <w:panose1 w:val="020B0502020104020203"/>
    <w:charset w:val="00"/>
    <w:family w:val="swiss"/>
    <w:pitch w:val="variable"/>
    <w:sig w:usb0="00000007" w:usb1="00000000" w:usb2="00000000" w:usb3="00000000" w:csb0="00000003" w:csb1="00000000"/>
  </w:font>
  <w:font w:name="Cambria Math">
    <w:panose1 w:val="02040503050406030204"/>
    <w:charset w:val="00"/>
    <w:family w:val="roman"/>
    <w:pitch w:val="variable"/>
    <w:sig w:usb0="E00002FF" w:usb1="420024FF" w:usb2="00000000"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C2139" w:rsidRPr="00C0592A" w:rsidRDefault="0083698C" w:rsidP="00A76DB3">
    <w:pPr>
      <w:pStyle w:val="Footer"/>
      <w:tabs>
        <w:tab w:val="clear" w:pos="4513"/>
        <w:tab w:val="clear" w:pos="9026"/>
        <w:tab w:val="center" w:pos="4678"/>
        <w:tab w:val="right" w:pos="9639"/>
      </w:tabs>
      <w:spacing w:line="240" w:lineRule="auto"/>
    </w:pPr>
    <w:r w:rsidRPr="00C0592A">
      <w:t xml:space="preserve">    </w:t>
    </w:r>
    <w:r w:rsidR="000734E8" w:rsidRPr="00C0592A">
      <w:rPr>
        <w:noProof/>
        <w:lang w:eastAsia="en-GB"/>
      </w:rPr>
      <w:drawing>
        <wp:inline distT="0" distB="0" distL="0" distR="0" wp14:anchorId="60005F75" wp14:editId="095AEF76">
          <wp:extent cx="1045521" cy="372269"/>
          <wp:effectExtent l="0" t="0" r="2540" b="8890"/>
          <wp:docPr id="8" name="Picture 8" descr="by-nc-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by-nc-sa"/>
                  <pic:cNvPicPr>
                    <a:picLocks noChangeAspect="1" noChangeArrowheads="1"/>
                  </pic:cNvPicPr>
                </pic:nvPicPr>
                <pic:blipFill>
                  <a:blip r:embed="rId1"/>
                  <a:srcRect/>
                  <a:stretch>
                    <a:fillRect/>
                  </a:stretch>
                </pic:blipFill>
                <pic:spPr bwMode="auto">
                  <a:xfrm>
                    <a:off x="0" y="0"/>
                    <a:ext cx="1056204" cy="376073"/>
                  </a:xfrm>
                  <a:prstGeom prst="rect">
                    <a:avLst/>
                  </a:prstGeom>
                  <a:noFill/>
                  <a:ln w="9525">
                    <a:noFill/>
                    <a:miter lim="800000"/>
                    <a:headEnd/>
                    <a:tailEnd/>
                  </a:ln>
                </pic:spPr>
              </pic:pic>
            </a:graphicData>
          </a:graphic>
        </wp:inline>
      </w:drawing>
    </w:r>
    <w:r w:rsidRPr="00C0592A">
      <w:tab/>
    </w:r>
    <w:r w:rsidR="008C2139" w:rsidRPr="00C0592A">
      <w:t xml:space="preserve">© </w:t>
    </w:r>
    <w:r w:rsidR="00107297">
      <w:t xml:space="preserve">Mollie Gilchrist and </w:t>
    </w:r>
    <w:r w:rsidR="008C2139">
      <w:t>Peter Samuels</w:t>
    </w:r>
    <w:r w:rsidR="008C2139">
      <w:tab/>
      <w:t>Reviewer: Ellen Marshall</w:t>
    </w:r>
  </w:p>
  <w:p w:rsidR="0083698C" w:rsidRDefault="008C2139" w:rsidP="00A76DB3">
    <w:pPr>
      <w:pStyle w:val="Footer"/>
      <w:tabs>
        <w:tab w:val="clear" w:pos="4513"/>
        <w:tab w:val="clear" w:pos="9026"/>
        <w:tab w:val="center" w:pos="4678"/>
        <w:tab w:val="right" w:pos="9639"/>
      </w:tabs>
      <w:spacing w:line="240" w:lineRule="auto"/>
    </w:pPr>
    <w:r>
      <w:t xml:space="preserve">  </w:t>
    </w:r>
    <w:r w:rsidRPr="00C0592A">
      <w:t>www.statstutor.ac.uk</w:t>
    </w:r>
    <w:r w:rsidRPr="00C0592A">
      <w:tab/>
    </w:r>
    <w:r>
      <w:t>Birmingham City University</w:t>
    </w:r>
    <w:r w:rsidRPr="00C0592A">
      <w:tab/>
    </w:r>
    <w:r>
      <w:t>University of Sheffield</w:t>
    </w:r>
  </w:p>
  <w:p w:rsidR="00107297" w:rsidRPr="00107297" w:rsidRDefault="00107297" w:rsidP="00107297">
    <w:pPr>
      <w:pStyle w:val="Footer"/>
      <w:spacing w:before="120"/>
      <w:jc w:val="center"/>
      <w:rPr>
        <w:sz w:val="20"/>
      </w:rPr>
    </w:pPr>
    <w:r w:rsidRPr="00F51D3F">
      <w:rPr>
        <w:sz w:val="20"/>
      </w:rPr>
      <w:t>Based on material provided by Loughborough University Mathematics Learning Support Centre and Coventry University Mathematics Support Centre</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3698C" w:rsidRPr="00C0592A" w:rsidRDefault="0083698C" w:rsidP="00A76DB3">
    <w:pPr>
      <w:pStyle w:val="Footer"/>
      <w:tabs>
        <w:tab w:val="clear" w:pos="4513"/>
        <w:tab w:val="clear" w:pos="9026"/>
        <w:tab w:val="center" w:pos="4678"/>
        <w:tab w:val="right" w:pos="9639"/>
      </w:tabs>
      <w:spacing w:line="240" w:lineRule="auto"/>
    </w:pPr>
    <w:r w:rsidRPr="00C0592A">
      <w:t xml:space="preserve">    </w:t>
    </w:r>
    <w:r w:rsidRPr="00C0592A">
      <w:rPr>
        <w:noProof/>
        <w:lang w:eastAsia="en-GB"/>
      </w:rPr>
      <w:drawing>
        <wp:inline distT="0" distB="0" distL="0" distR="0" wp14:anchorId="1D03B57B" wp14:editId="3255E6C2">
          <wp:extent cx="1045521" cy="372269"/>
          <wp:effectExtent l="0" t="0" r="2540" b="8890"/>
          <wp:docPr id="10" name="Picture 10" descr="by-nc-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by-nc-sa"/>
                  <pic:cNvPicPr>
                    <a:picLocks noChangeAspect="1" noChangeArrowheads="1"/>
                  </pic:cNvPicPr>
                </pic:nvPicPr>
                <pic:blipFill>
                  <a:blip r:embed="rId1"/>
                  <a:srcRect/>
                  <a:stretch>
                    <a:fillRect/>
                  </a:stretch>
                </pic:blipFill>
                <pic:spPr bwMode="auto">
                  <a:xfrm>
                    <a:off x="0" y="0"/>
                    <a:ext cx="1056204" cy="376073"/>
                  </a:xfrm>
                  <a:prstGeom prst="rect">
                    <a:avLst/>
                  </a:prstGeom>
                  <a:noFill/>
                  <a:ln w="9525">
                    <a:noFill/>
                    <a:miter lim="800000"/>
                    <a:headEnd/>
                    <a:tailEnd/>
                  </a:ln>
                </pic:spPr>
              </pic:pic>
            </a:graphicData>
          </a:graphic>
        </wp:inline>
      </w:drawing>
    </w:r>
    <w:r w:rsidRPr="00C0592A">
      <w:tab/>
      <w:t xml:space="preserve">© </w:t>
    </w:r>
    <w:r w:rsidR="00107297">
      <w:t xml:space="preserve">Mollie Gilchrist and </w:t>
    </w:r>
    <w:r w:rsidR="008C2139">
      <w:t>Peter Samuels</w:t>
    </w:r>
    <w:r w:rsidR="008C2139">
      <w:tab/>
      <w:t>Reviewer: Ellen Marshall</w:t>
    </w:r>
  </w:p>
  <w:p w:rsidR="0083698C" w:rsidRDefault="000734E8" w:rsidP="00A76DB3">
    <w:pPr>
      <w:pStyle w:val="Footer"/>
      <w:tabs>
        <w:tab w:val="clear" w:pos="4513"/>
        <w:tab w:val="clear" w:pos="9026"/>
        <w:tab w:val="center" w:pos="4678"/>
        <w:tab w:val="right" w:pos="9639"/>
      </w:tabs>
      <w:spacing w:line="240" w:lineRule="auto"/>
    </w:pPr>
    <w:r>
      <w:t xml:space="preserve">  </w:t>
    </w:r>
    <w:r w:rsidR="0083698C" w:rsidRPr="00C0592A">
      <w:t>www.statstutor.ac.uk</w:t>
    </w:r>
    <w:r w:rsidR="0083698C" w:rsidRPr="00C0592A">
      <w:tab/>
    </w:r>
    <w:r w:rsidR="008C2139">
      <w:t>Birmingham City University</w:t>
    </w:r>
    <w:r w:rsidR="0083698C" w:rsidRPr="00C0592A">
      <w:tab/>
    </w:r>
    <w:r w:rsidR="008C2139">
      <w:t>University of Sheffield</w:t>
    </w:r>
  </w:p>
  <w:p w:rsidR="00107297" w:rsidRPr="00107297" w:rsidRDefault="00107297" w:rsidP="00107297">
    <w:pPr>
      <w:pStyle w:val="Footer"/>
      <w:spacing w:before="120"/>
      <w:jc w:val="center"/>
      <w:rPr>
        <w:sz w:val="20"/>
      </w:rPr>
    </w:pPr>
    <w:r w:rsidRPr="00F51D3F">
      <w:rPr>
        <w:sz w:val="20"/>
      </w:rPr>
      <w:t>Based on material provided by Loughborough University Mathematics Learning Support Centre and Coventry University Mathematics Support Centre</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6C13CD" w:rsidRDefault="006C13CD" w:rsidP="00A76DB3">
      <w:r>
        <w:separator/>
      </w:r>
    </w:p>
    <w:p w:rsidR="006C13CD" w:rsidRDefault="006C13CD" w:rsidP="00A76DB3"/>
    <w:p w:rsidR="006C13CD" w:rsidRDefault="006C13CD" w:rsidP="00A76DB3"/>
  </w:footnote>
  <w:footnote w:type="continuationSeparator" w:id="0">
    <w:p w:rsidR="006C13CD" w:rsidRDefault="006C13CD" w:rsidP="00A76DB3">
      <w:r>
        <w:continuationSeparator/>
      </w:r>
    </w:p>
    <w:p w:rsidR="006C13CD" w:rsidRDefault="006C13CD" w:rsidP="00A76DB3"/>
    <w:p w:rsidR="006C13CD" w:rsidRDefault="006C13CD" w:rsidP="00A76DB3"/>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3698C" w:rsidRPr="00C0592A" w:rsidRDefault="00F5656E" w:rsidP="00D118F6">
    <w:pPr>
      <w:pStyle w:val="Header"/>
      <w:tabs>
        <w:tab w:val="clear" w:pos="9026"/>
        <w:tab w:val="right" w:pos="9639"/>
      </w:tabs>
      <w:spacing w:line="240" w:lineRule="auto"/>
    </w:pPr>
    <w:r>
      <w:t>One-Way ANOVA – Additional Material</w:t>
    </w:r>
    <w:r w:rsidR="0083698C" w:rsidRPr="00C0592A">
      <w:tab/>
    </w:r>
    <w:r w:rsidR="0083698C" w:rsidRPr="00C0592A">
      <w:tab/>
    </w:r>
    <w:sdt>
      <w:sdtPr>
        <w:id w:val="836506043"/>
        <w:docPartObj>
          <w:docPartGallery w:val="Page Numbers (Top of Page)"/>
          <w:docPartUnique/>
        </w:docPartObj>
      </w:sdtPr>
      <w:sdtEndPr/>
      <w:sdtContent>
        <w:r w:rsidR="0083698C" w:rsidRPr="00C0592A">
          <w:t xml:space="preserve">Page </w:t>
        </w:r>
        <w:r w:rsidR="0083698C" w:rsidRPr="00C0592A">
          <w:rPr>
            <w:sz w:val="24"/>
          </w:rPr>
          <w:fldChar w:fldCharType="begin"/>
        </w:r>
        <w:r w:rsidR="0083698C" w:rsidRPr="00C0592A">
          <w:instrText xml:space="preserve"> PAGE </w:instrText>
        </w:r>
        <w:r w:rsidR="0083698C" w:rsidRPr="00C0592A">
          <w:rPr>
            <w:sz w:val="24"/>
          </w:rPr>
          <w:fldChar w:fldCharType="separate"/>
        </w:r>
        <w:r w:rsidR="002E48D2">
          <w:rPr>
            <w:noProof/>
          </w:rPr>
          <w:t>2</w:t>
        </w:r>
        <w:r w:rsidR="0083698C" w:rsidRPr="00C0592A">
          <w:rPr>
            <w:sz w:val="24"/>
          </w:rPr>
          <w:fldChar w:fldCharType="end"/>
        </w:r>
        <w:r w:rsidR="0083698C" w:rsidRPr="00C0592A">
          <w:t xml:space="preserve"> of </w:t>
        </w:r>
        <w:r w:rsidR="006C13CD">
          <w:fldChar w:fldCharType="begin"/>
        </w:r>
        <w:r w:rsidR="006C13CD">
          <w:instrText xml:space="preserve"> NUMPAGES  </w:instrText>
        </w:r>
        <w:r w:rsidR="006C13CD">
          <w:fldChar w:fldCharType="separate"/>
        </w:r>
        <w:r w:rsidR="002E48D2">
          <w:rPr>
            <w:noProof/>
          </w:rPr>
          <w:t>2</w:t>
        </w:r>
        <w:r w:rsidR="006C13CD">
          <w:rPr>
            <w:noProof/>
          </w:rPr>
          <w:fldChar w:fldCharType="end"/>
        </w:r>
      </w:sdtContent>
    </w:sdt>
  </w:p>
  <w:p w:rsidR="00662373" w:rsidRDefault="00662373" w:rsidP="00D118F6">
    <w:pPr>
      <w:spacing w:after="0" w:line="240" w:lineRule="auto"/>
    </w:pPr>
  </w:p>
  <w:p w:rsidR="00662373" w:rsidRDefault="00662373" w:rsidP="00D118F6">
    <w:pPr>
      <w:spacing w:after="0" w:line="240" w:lineRule="auto"/>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C1C87" w:rsidRPr="00E70653" w:rsidRDefault="002C1C87" w:rsidP="00A76DB3">
    <w:pPr>
      <w:pStyle w:val="Header"/>
      <w:spacing w:line="240" w:lineRule="auto"/>
      <w:jc w:val="center"/>
      <w:rPr>
        <w:rStyle w:val="CP3Char"/>
      </w:rPr>
    </w:pPr>
    <w:r>
      <w:rPr>
        <w:noProof/>
        <w:lang w:eastAsia="en-GB"/>
      </w:rPr>
      <w:drawing>
        <wp:inline distT="0" distB="0" distL="0" distR="0" wp14:anchorId="3063FC22" wp14:editId="06CC6BE9">
          <wp:extent cx="2638425" cy="1076325"/>
          <wp:effectExtent l="0" t="0" r="9525" b="952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atstutorcplogo_2cm.eps"/>
                  <pic:cNvPicPr/>
                </pic:nvPicPr>
                <pic:blipFill>
                  <a:blip r:embed="rId1">
                    <a:extLst>
                      <a:ext uri="{28A0092B-C50C-407E-A947-70E740481C1C}">
                        <a14:useLocalDpi xmlns:a14="http://schemas.microsoft.com/office/drawing/2010/main" val="0"/>
                      </a:ext>
                    </a:extLst>
                  </a:blip>
                  <a:stretch>
                    <a:fillRect/>
                  </a:stretch>
                </pic:blipFill>
                <pic:spPr>
                  <a:xfrm>
                    <a:off x="0" y="0"/>
                    <a:ext cx="2638425" cy="1076325"/>
                  </a:xfrm>
                  <a:prstGeom prst="rect">
                    <a:avLst/>
                  </a:prstGeom>
                </pic:spPr>
              </pic:pic>
            </a:graphicData>
          </a:graphic>
        </wp:inline>
      </w:drawing>
    </w:r>
  </w:p>
  <w:p w:rsidR="002C1C87" w:rsidRPr="00C0592A" w:rsidRDefault="002C1C87" w:rsidP="00A76DB3">
    <w:pPr>
      <w:pStyle w:val="CP1"/>
    </w:pPr>
    <w:proofErr w:type="gramStart"/>
    <w:r w:rsidRPr="00C0592A">
      <w:t>community</w:t>
    </w:r>
    <w:proofErr w:type="gramEnd"/>
    <w:r w:rsidRPr="00C0592A">
      <w:t xml:space="preserve"> project</w:t>
    </w:r>
  </w:p>
  <w:p w:rsidR="002C1C87" w:rsidRPr="00C0592A" w:rsidRDefault="002C1C87" w:rsidP="00A76DB3">
    <w:pPr>
      <w:pStyle w:val="CP2"/>
    </w:pPr>
    <w:proofErr w:type="gramStart"/>
    <w:r w:rsidRPr="00C0592A">
      <w:t>encouraging</w:t>
    </w:r>
    <w:proofErr w:type="gramEnd"/>
    <w:r w:rsidRPr="00C0592A">
      <w:t xml:space="preserve"> academics to share statistics support resources</w:t>
    </w:r>
  </w:p>
  <w:p w:rsidR="002C1C87" w:rsidRPr="00C0592A" w:rsidRDefault="002C1C87" w:rsidP="00A76DB3">
    <w:pPr>
      <w:pStyle w:val="CP3"/>
    </w:pPr>
    <w:r w:rsidRPr="00C0592A">
      <w:t xml:space="preserve">All </w:t>
    </w:r>
    <w:proofErr w:type="spellStart"/>
    <w:r w:rsidRPr="00C0592A">
      <w:t>stcp</w:t>
    </w:r>
    <w:proofErr w:type="spellEnd"/>
    <w:r w:rsidRPr="00C0592A">
      <w:t xml:space="preserve"> resources are released under a Creative Commons licence</w:t>
    </w:r>
  </w:p>
  <w:p w:rsidR="002C1C87" w:rsidRPr="00C0592A" w:rsidRDefault="002C1C87" w:rsidP="00A76DB3">
    <w:pPr>
      <w:pStyle w:val="CP3"/>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85B3953"/>
    <w:multiLevelType w:val="hybridMultilevel"/>
    <w:tmpl w:val="63784B04"/>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nsid w:val="08F25B6B"/>
    <w:multiLevelType w:val="hybridMultilevel"/>
    <w:tmpl w:val="C1DEFFC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nsid w:val="0C9B46F2"/>
    <w:multiLevelType w:val="hybridMultilevel"/>
    <w:tmpl w:val="051EA0F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nsid w:val="107F18F3"/>
    <w:multiLevelType w:val="hybridMultilevel"/>
    <w:tmpl w:val="BDC0073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nsid w:val="1D0F0785"/>
    <w:multiLevelType w:val="hybridMultilevel"/>
    <w:tmpl w:val="2FBC963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nsid w:val="2541766C"/>
    <w:multiLevelType w:val="hybridMultilevel"/>
    <w:tmpl w:val="B844915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nsid w:val="31AC542B"/>
    <w:multiLevelType w:val="hybridMultilevel"/>
    <w:tmpl w:val="D206C94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nsid w:val="4A776FC4"/>
    <w:multiLevelType w:val="hybridMultilevel"/>
    <w:tmpl w:val="04D26614"/>
    <w:lvl w:ilvl="0" w:tplc="97CE2E74">
      <w:start w:val="1"/>
      <w:numFmt w:val="bullet"/>
      <w:pStyle w:val="ListParagraph"/>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8">
    <w:nsid w:val="4FE66D90"/>
    <w:multiLevelType w:val="hybridMultilevel"/>
    <w:tmpl w:val="05D4FDC8"/>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nsid w:val="541E4052"/>
    <w:multiLevelType w:val="hybridMultilevel"/>
    <w:tmpl w:val="F07C8DD6"/>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nsid w:val="6FCB7C5A"/>
    <w:multiLevelType w:val="hybridMultilevel"/>
    <w:tmpl w:val="A00EB95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7"/>
  </w:num>
  <w:num w:numId="2">
    <w:abstractNumId w:val="10"/>
  </w:num>
  <w:num w:numId="3">
    <w:abstractNumId w:val="6"/>
  </w:num>
  <w:num w:numId="4">
    <w:abstractNumId w:val="5"/>
  </w:num>
  <w:num w:numId="5">
    <w:abstractNumId w:val="3"/>
  </w:num>
  <w:num w:numId="6">
    <w:abstractNumId w:val="8"/>
  </w:num>
  <w:num w:numId="7">
    <w:abstractNumId w:val="2"/>
  </w:num>
  <w:num w:numId="8">
    <w:abstractNumId w:val="1"/>
  </w:num>
  <w:num w:numId="9">
    <w:abstractNumId w:val="4"/>
  </w:num>
  <w:num w:numId="10">
    <w:abstractNumId w:val="0"/>
  </w:num>
  <w:num w:numId="11">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val="bestFit" w:percent="156"/>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C1C87"/>
    <w:rsid w:val="000734E8"/>
    <w:rsid w:val="00107297"/>
    <w:rsid w:val="001A5027"/>
    <w:rsid w:val="00263B13"/>
    <w:rsid w:val="00280C4F"/>
    <w:rsid w:val="002B78F3"/>
    <w:rsid w:val="002C1C87"/>
    <w:rsid w:val="002E48D2"/>
    <w:rsid w:val="003E4ECE"/>
    <w:rsid w:val="00477CBE"/>
    <w:rsid w:val="004B0D36"/>
    <w:rsid w:val="00586354"/>
    <w:rsid w:val="00606B7F"/>
    <w:rsid w:val="006309EA"/>
    <w:rsid w:val="00662373"/>
    <w:rsid w:val="006C13CD"/>
    <w:rsid w:val="00723553"/>
    <w:rsid w:val="007252BC"/>
    <w:rsid w:val="0079077D"/>
    <w:rsid w:val="007B649A"/>
    <w:rsid w:val="00814897"/>
    <w:rsid w:val="0083698C"/>
    <w:rsid w:val="00865F09"/>
    <w:rsid w:val="008C2139"/>
    <w:rsid w:val="00901D9F"/>
    <w:rsid w:val="00A04B12"/>
    <w:rsid w:val="00A058A5"/>
    <w:rsid w:val="00A76DB3"/>
    <w:rsid w:val="00A82EB4"/>
    <w:rsid w:val="00AC6F0B"/>
    <w:rsid w:val="00BA65F1"/>
    <w:rsid w:val="00C0592A"/>
    <w:rsid w:val="00C11744"/>
    <w:rsid w:val="00C640F4"/>
    <w:rsid w:val="00D118F6"/>
    <w:rsid w:val="00D93A12"/>
    <w:rsid w:val="00D96971"/>
    <w:rsid w:val="00DA34F3"/>
    <w:rsid w:val="00E70653"/>
    <w:rsid w:val="00EB6CB3"/>
    <w:rsid w:val="00EC2C13"/>
    <w:rsid w:val="00F5656E"/>
    <w:rsid w:val="00FC3FBE"/>
  </w:rsids>
  <m:mathPr>
    <m:mathFont m:val="Cambria Math"/>
    <m:brkBin m:val="before"/>
    <m:brkBinSub m:val="--"/>
    <m:smallFrac m:val="0"/>
    <m:dispDef/>
    <m:lMargin m:val="0"/>
    <m:rMargin m:val="0"/>
    <m:defJc m:val="centerGroup"/>
    <m:wrapIndent m:val="1440"/>
    <m:intLim m:val="subSup"/>
    <m:naryLim m:val="undOvr"/>
  </m:mathPr>
  <w:themeFontLang w:val="en-GB"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n-GB" w:eastAsia="zh-CN"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uiPriority="0"/>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76DB3"/>
    <w:pPr>
      <w:spacing w:after="120" w:line="264" w:lineRule="auto"/>
    </w:pPr>
    <w:rPr>
      <w:rFonts w:ascii="Arial" w:hAnsi="Arial" w:cs="Arial"/>
      <w:szCs w:val="24"/>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2C1C87"/>
    <w:pPr>
      <w:tabs>
        <w:tab w:val="center" w:pos="4513"/>
        <w:tab w:val="right" w:pos="9026"/>
      </w:tabs>
      <w:spacing w:after="0"/>
    </w:pPr>
  </w:style>
  <w:style w:type="character" w:customStyle="1" w:styleId="HeaderChar">
    <w:name w:val="Header Char"/>
    <w:basedOn w:val="DefaultParagraphFont"/>
    <w:link w:val="Header"/>
    <w:uiPriority w:val="99"/>
    <w:rsid w:val="002C1C87"/>
  </w:style>
  <w:style w:type="paragraph" w:styleId="Footer">
    <w:name w:val="footer"/>
    <w:basedOn w:val="Normal"/>
    <w:link w:val="FooterChar"/>
    <w:unhideWhenUsed/>
    <w:rsid w:val="002C1C87"/>
    <w:pPr>
      <w:tabs>
        <w:tab w:val="center" w:pos="4513"/>
        <w:tab w:val="right" w:pos="9026"/>
      </w:tabs>
      <w:spacing w:after="0"/>
    </w:pPr>
  </w:style>
  <w:style w:type="character" w:customStyle="1" w:styleId="FooterChar">
    <w:name w:val="Footer Char"/>
    <w:basedOn w:val="DefaultParagraphFont"/>
    <w:link w:val="Footer"/>
    <w:uiPriority w:val="99"/>
    <w:rsid w:val="002C1C87"/>
  </w:style>
  <w:style w:type="paragraph" w:styleId="BalloonText">
    <w:name w:val="Balloon Text"/>
    <w:basedOn w:val="Normal"/>
    <w:link w:val="BalloonTextChar"/>
    <w:uiPriority w:val="99"/>
    <w:semiHidden/>
    <w:unhideWhenUsed/>
    <w:rsid w:val="002C1C87"/>
    <w:pPr>
      <w:spacing w:after="0"/>
    </w:pPr>
    <w:rPr>
      <w:rFonts w:ascii="Tahoma" w:hAnsi="Tahoma" w:cs="Tahoma"/>
      <w:sz w:val="16"/>
      <w:szCs w:val="16"/>
    </w:rPr>
  </w:style>
  <w:style w:type="character" w:customStyle="1" w:styleId="BalloonTextChar">
    <w:name w:val="Balloon Text Char"/>
    <w:basedOn w:val="DefaultParagraphFont"/>
    <w:link w:val="BalloonText"/>
    <w:uiPriority w:val="99"/>
    <w:semiHidden/>
    <w:rsid w:val="002C1C87"/>
    <w:rPr>
      <w:rFonts w:ascii="Tahoma" w:hAnsi="Tahoma" w:cs="Tahoma"/>
      <w:sz w:val="16"/>
      <w:szCs w:val="16"/>
    </w:rPr>
  </w:style>
  <w:style w:type="paragraph" w:customStyle="1" w:styleId="CP1">
    <w:name w:val="CP1"/>
    <w:basedOn w:val="Normal"/>
    <w:link w:val="CP1Char"/>
    <w:qFormat/>
    <w:rsid w:val="00E70653"/>
    <w:pPr>
      <w:spacing w:after="0"/>
      <w:jc w:val="center"/>
    </w:pPr>
    <w:rPr>
      <w:rFonts w:ascii="Gill Sans MT" w:hAnsi="Gill Sans MT"/>
      <w:color w:val="000000" w:themeColor="text1"/>
      <w:sz w:val="60"/>
      <w:szCs w:val="60"/>
    </w:rPr>
  </w:style>
  <w:style w:type="paragraph" w:customStyle="1" w:styleId="CP2">
    <w:name w:val="CP2"/>
    <w:basedOn w:val="Normal"/>
    <w:link w:val="CP2Char"/>
    <w:qFormat/>
    <w:rsid w:val="00E70653"/>
    <w:pPr>
      <w:spacing w:after="0"/>
      <w:jc w:val="center"/>
    </w:pPr>
    <w:rPr>
      <w:rFonts w:ascii="Gill Sans MT" w:hAnsi="Gill Sans MT"/>
      <w:color w:val="000000" w:themeColor="text1"/>
      <w:sz w:val="28"/>
      <w:szCs w:val="28"/>
    </w:rPr>
  </w:style>
  <w:style w:type="character" w:customStyle="1" w:styleId="CP1Char">
    <w:name w:val="CP1 Char"/>
    <w:basedOn w:val="DefaultParagraphFont"/>
    <w:link w:val="CP1"/>
    <w:rsid w:val="00E70653"/>
    <w:rPr>
      <w:rFonts w:ascii="Gill Sans MT" w:hAnsi="Gill Sans MT"/>
      <w:color w:val="000000" w:themeColor="text1"/>
      <w:sz w:val="60"/>
      <w:szCs w:val="60"/>
    </w:rPr>
  </w:style>
  <w:style w:type="paragraph" w:customStyle="1" w:styleId="CP3">
    <w:name w:val="CP3"/>
    <w:basedOn w:val="Normal"/>
    <w:link w:val="CP3Char"/>
    <w:qFormat/>
    <w:rsid w:val="00E70653"/>
    <w:pPr>
      <w:spacing w:after="0"/>
      <w:jc w:val="center"/>
    </w:pPr>
    <w:rPr>
      <w:rFonts w:ascii="Gill Sans MT" w:hAnsi="Gill Sans MT"/>
      <w:color w:val="000000" w:themeColor="text1"/>
      <w:sz w:val="20"/>
      <w:szCs w:val="20"/>
    </w:rPr>
  </w:style>
  <w:style w:type="character" w:customStyle="1" w:styleId="CP2Char">
    <w:name w:val="CP2 Char"/>
    <w:basedOn w:val="DefaultParagraphFont"/>
    <w:link w:val="CP2"/>
    <w:rsid w:val="00E70653"/>
    <w:rPr>
      <w:rFonts w:ascii="Gill Sans MT" w:hAnsi="Gill Sans MT"/>
      <w:color w:val="000000" w:themeColor="text1"/>
      <w:sz w:val="28"/>
      <w:szCs w:val="28"/>
    </w:rPr>
  </w:style>
  <w:style w:type="paragraph" w:customStyle="1" w:styleId="Title2">
    <w:name w:val="Title2"/>
    <w:basedOn w:val="Normal"/>
    <w:link w:val="Title2Char"/>
    <w:qFormat/>
    <w:rsid w:val="00E70653"/>
    <w:rPr>
      <w:b/>
      <w:bCs/>
      <w:sz w:val="32"/>
      <w:szCs w:val="28"/>
    </w:rPr>
  </w:style>
  <w:style w:type="character" w:customStyle="1" w:styleId="CP3Char">
    <w:name w:val="CP3 Char"/>
    <w:basedOn w:val="DefaultParagraphFont"/>
    <w:link w:val="CP3"/>
    <w:rsid w:val="00E70653"/>
    <w:rPr>
      <w:rFonts w:ascii="Gill Sans MT" w:hAnsi="Gill Sans MT"/>
      <w:color w:val="000000" w:themeColor="text1"/>
      <w:sz w:val="20"/>
      <w:szCs w:val="20"/>
    </w:rPr>
  </w:style>
  <w:style w:type="paragraph" w:customStyle="1" w:styleId="Heading1">
    <w:name w:val="Heading1"/>
    <w:basedOn w:val="Normal"/>
    <w:link w:val="Heading1Char"/>
    <w:qFormat/>
    <w:rsid w:val="00E70653"/>
    <w:pPr>
      <w:spacing w:before="240"/>
    </w:pPr>
    <w:rPr>
      <w:b/>
      <w:bCs/>
      <w:sz w:val="28"/>
    </w:rPr>
  </w:style>
  <w:style w:type="character" w:customStyle="1" w:styleId="Title2Char">
    <w:name w:val="Title2 Char"/>
    <w:basedOn w:val="DefaultParagraphFont"/>
    <w:link w:val="Title2"/>
    <w:rsid w:val="00E70653"/>
    <w:rPr>
      <w:rFonts w:ascii="Arial" w:hAnsi="Arial" w:cs="Arial"/>
      <w:b/>
      <w:bCs/>
      <w:sz w:val="32"/>
      <w:szCs w:val="28"/>
    </w:rPr>
  </w:style>
  <w:style w:type="paragraph" w:customStyle="1" w:styleId="Heading2">
    <w:name w:val="Heading2"/>
    <w:basedOn w:val="Normal"/>
    <w:link w:val="Heading2Char"/>
    <w:qFormat/>
    <w:rsid w:val="00E70653"/>
    <w:rPr>
      <w:b/>
      <w:bCs/>
      <w:sz w:val="24"/>
    </w:rPr>
  </w:style>
  <w:style w:type="character" w:customStyle="1" w:styleId="Heading1Char">
    <w:name w:val="Heading1 Char"/>
    <w:basedOn w:val="DefaultParagraphFont"/>
    <w:link w:val="Heading1"/>
    <w:rsid w:val="00E70653"/>
    <w:rPr>
      <w:rFonts w:ascii="Arial" w:hAnsi="Arial" w:cs="Arial"/>
      <w:b/>
      <w:bCs/>
      <w:sz w:val="28"/>
      <w:szCs w:val="24"/>
    </w:rPr>
  </w:style>
  <w:style w:type="paragraph" w:customStyle="1" w:styleId="Ref">
    <w:name w:val="Ref"/>
    <w:basedOn w:val="Normal"/>
    <w:link w:val="RefChar"/>
    <w:qFormat/>
    <w:rsid w:val="00E70653"/>
    <w:pPr>
      <w:jc w:val="right"/>
    </w:pPr>
    <w:rPr>
      <w:rFonts w:ascii="Gill Sans MT" w:hAnsi="Gill Sans MT"/>
      <w:bCs/>
      <w:noProof/>
      <w:szCs w:val="28"/>
      <w:lang w:eastAsia="en-GB"/>
    </w:rPr>
  </w:style>
  <w:style w:type="character" w:customStyle="1" w:styleId="Heading2Char">
    <w:name w:val="Heading2 Char"/>
    <w:basedOn w:val="DefaultParagraphFont"/>
    <w:link w:val="Heading2"/>
    <w:rsid w:val="00E70653"/>
    <w:rPr>
      <w:rFonts w:ascii="Arial" w:hAnsi="Arial" w:cs="Arial"/>
      <w:b/>
      <w:bCs/>
      <w:sz w:val="24"/>
      <w:szCs w:val="24"/>
    </w:rPr>
  </w:style>
  <w:style w:type="paragraph" w:customStyle="1" w:styleId="Heading3">
    <w:name w:val="Heading3"/>
    <w:basedOn w:val="Heading2"/>
    <w:link w:val="Heading3Char"/>
    <w:qFormat/>
    <w:rsid w:val="00E70653"/>
    <w:rPr>
      <w:sz w:val="22"/>
    </w:rPr>
  </w:style>
  <w:style w:type="character" w:customStyle="1" w:styleId="RefChar">
    <w:name w:val="Ref Char"/>
    <w:basedOn w:val="DefaultParagraphFont"/>
    <w:link w:val="Ref"/>
    <w:rsid w:val="00E70653"/>
    <w:rPr>
      <w:rFonts w:ascii="Gill Sans MT" w:hAnsi="Gill Sans MT" w:cs="Arial"/>
      <w:bCs/>
      <w:noProof/>
      <w:szCs w:val="28"/>
      <w:lang w:eastAsia="en-GB"/>
    </w:rPr>
  </w:style>
  <w:style w:type="character" w:customStyle="1" w:styleId="Heading3Char">
    <w:name w:val="Heading3 Char"/>
    <w:basedOn w:val="Heading2Char"/>
    <w:link w:val="Heading3"/>
    <w:rsid w:val="00E70653"/>
    <w:rPr>
      <w:rFonts w:ascii="Arial" w:hAnsi="Arial" w:cs="Arial"/>
      <w:b/>
      <w:bCs/>
      <w:sz w:val="24"/>
      <w:szCs w:val="24"/>
    </w:rPr>
  </w:style>
  <w:style w:type="paragraph" w:styleId="ListParagraph">
    <w:name w:val="List Paragraph"/>
    <w:basedOn w:val="Normal"/>
    <w:uiPriority w:val="34"/>
    <w:qFormat/>
    <w:rsid w:val="00EC2C13"/>
    <w:pPr>
      <w:numPr>
        <w:numId w:val="1"/>
      </w:numPr>
      <w:ind w:left="709" w:hanging="283"/>
      <w:contextualSpacing/>
    </w:pPr>
  </w:style>
  <w:style w:type="table" w:styleId="TableGrid">
    <w:name w:val="Table Grid"/>
    <w:basedOn w:val="TableNormal"/>
    <w:uiPriority w:val="59"/>
    <w:rsid w:val="00107297"/>
    <w:pPr>
      <w:spacing w:after="0" w:line="240" w:lineRule="auto"/>
    </w:pPr>
    <w:rPr>
      <w:rFonts w:ascii="Times New Roman" w:eastAsia="Times New Roman" w:hAnsi="Times New Roman" w:cs="Times New Roman"/>
      <w:sz w:val="20"/>
      <w:szCs w:val="20"/>
      <w:lang w:eastAsia="en-GB"/>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odyText">
    <w:name w:val="Body Text"/>
    <w:basedOn w:val="Normal"/>
    <w:link w:val="BodyTextChar"/>
    <w:rsid w:val="00107297"/>
    <w:pPr>
      <w:spacing w:after="0" w:line="240" w:lineRule="auto"/>
    </w:pPr>
    <w:rPr>
      <w:rFonts w:ascii="Times New Roman" w:eastAsia="Times New Roman" w:hAnsi="Times New Roman" w:cs="Times New Roman"/>
      <w:b/>
      <w:sz w:val="20"/>
      <w:szCs w:val="20"/>
      <w:lang w:eastAsia="en-US"/>
    </w:rPr>
  </w:style>
  <w:style w:type="character" w:customStyle="1" w:styleId="BodyTextChar">
    <w:name w:val="Body Text Char"/>
    <w:basedOn w:val="DefaultParagraphFont"/>
    <w:link w:val="BodyText"/>
    <w:rsid w:val="00107297"/>
    <w:rPr>
      <w:rFonts w:ascii="Times New Roman" w:eastAsia="Times New Roman" w:hAnsi="Times New Roman" w:cs="Times New Roman"/>
      <w:b/>
      <w:sz w:val="20"/>
      <w:szCs w:val="20"/>
      <w:lang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GB" w:eastAsia="zh-CN"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uiPriority="0"/>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76DB3"/>
    <w:pPr>
      <w:spacing w:after="120" w:line="264" w:lineRule="auto"/>
    </w:pPr>
    <w:rPr>
      <w:rFonts w:ascii="Arial" w:hAnsi="Arial" w:cs="Arial"/>
      <w:szCs w:val="24"/>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2C1C87"/>
    <w:pPr>
      <w:tabs>
        <w:tab w:val="center" w:pos="4513"/>
        <w:tab w:val="right" w:pos="9026"/>
      </w:tabs>
      <w:spacing w:after="0"/>
    </w:pPr>
  </w:style>
  <w:style w:type="character" w:customStyle="1" w:styleId="HeaderChar">
    <w:name w:val="Header Char"/>
    <w:basedOn w:val="DefaultParagraphFont"/>
    <w:link w:val="Header"/>
    <w:uiPriority w:val="99"/>
    <w:rsid w:val="002C1C87"/>
  </w:style>
  <w:style w:type="paragraph" w:styleId="Footer">
    <w:name w:val="footer"/>
    <w:basedOn w:val="Normal"/>
    <w:link w:val="FooterChar"/>
    <w:unhideWhenUsed/>
    <w:rsid w:val="002C1C87"/>
    <w:pPr>
      <w:tabs>
        <w:tab w:val="center" w:pos="4513"/>
        <w:tab w:val="right" w:pos="9026"/>
      </w:tabs>
      <w:spacing w:after="0"/>
    </w:pPr>
  </w:style>
  <w:style w:type="character" w:customStyle="1" w:styleId="FooterChar">
    <w:name w:val="Footer Char"/>
    <w:basedOn w:val="DefaultParagraphFont"/>
    <w:link w:val="Footer"/>
    <w:uiPriority w:val="99"/>
    <w:rsid w:val="002C1C87"/>
  </w:style>
  <w:style w:type="paragraph" w:styleId="BalloonText">
    <w:name w:val="Balloon Text"/>
    <w:basedOn w:val="Normal"/>
    <w:link w:val="BalloonTextChar"/>
    <w:uiPriority w:val="99"/>
    <w:semiHidden/>
    <w:unhideWhenUsed/>
    <w:rsid w:val="002C1C87"/>
    <w:pPr>
      <w:spacing w:after="0"/>
    </w:pPr>
    <w:rPr>
      <w:rFonts w:ascii="Tahoma" w:hAnsi="Tahoma" w:cs="Tahoma"/>
      <w:sz w:val="16"/>
      <w:szCs w:val="16"/>
    </w:rPr>
  </w:style>
  <w:style w:type="character" w:customStyle="1" w:styleId="BalloonTextChar">
    <w:name w:val="Balloon Text Char"/>
    <w:basedOn w:val="DefaultParagraphFont"/>
    <w:link w:val="BalloonText"/>
    <w:uiPriority w:val="99"/>
    <w:semiHidden/>
    <w:rsid w:val="002C1C87"/>
    <w:rPr>
      <w:rFonts w:ascii="Tahoma" w:hAnsi="Tahoma" w:cs="Tahoma"/>
      <w:sz w:val="16"/>
      <w:szCs w:val="16"/>
    </w:rPr>
  </w:style>
  <w:style w:type="paragraph" w:customStyle="1" w:styleId="CP1">
    <w:name w:val="CP1"/>
    <w:basedOn w:val="Normal"/>
    <w:link w:val="CP1Char"/>
    <w:qFormat/>
    <w:rsid w:val="00E70653"/>
    <w:pPr>
      <w:spacing w:after="0"/>
      <w:jc w:val="center"/>
    </w:pPr>
    <w:rPr>
      <w:rFonts w:ascii="Gill Sans MT" w:hAnsi="Gill Sans MT"/>
      <w:color w:val="000000" w:themeColor="text1"/>
      <w:sz w:val="60"/>
      <w:szCs w:val="60"/>
    </w:rPr>
  </w:style>
  <w:style w:type="paragraph" w:customStyle="1" w:styleId="CP2">
    <w:name w:val="CP2"/>
    <w:basedOn w:val="Normal"/>
    <w:link w:val="CP2Char"/>
    <w:qFormat/>
    <w:rsid w:val="00E70653"/>
    <w:pPr>
      <w:spacing w:after="0"/>
      <w:jc w:val="center"/>
    </w:pPr>
    <w:rPr>
      <w:rFonts w:ascii="Gill Sans MT" w:hAnsi="Gill Sans MT"/>
      <w:color w:val="000000" w:themeColor="text1"/>
      <w:sz w:val="28"/>
      <w:szCs w:val="28"/>
    </w:rPr>
  </w:style>
  <w:style w:type="character" w:customStyle="1" w:styleId="CP1Char">
    <w:name w:val="CP1 Char"/>
    <w:basedOn w:val="DefaultParagraphFont"/>
    <w:link w:val="CP1"/>
    <w:rsid w:val="00E70653"/>
    <w:rPr>
      <w:rFonts w:ascii="Gill Sans MT" w:hAnsi="Gill Sans MT"/>
      <w:color w:val="000000" w:themeColor="text1"/>
      <w:sz w:val="60"/>
      <w:szCs w:val="60"/>
    </w:rPr>
  </w:style>
  <w:style w:type="paragraph" w:customStyle="1" w:styleId="CP3">
    <w:name w:val="CP3"/>
    <w:basedOn w:val="Normal"/>
    <w:link w:val="CP3Char"/>
    <w:qFormat/>
    <w:rsid w:val="00E70653"/>
    <w:pPr>
      <w:spacing w:after="0"/>
      <w:jc w:val="center"/>
    </w:pPr>
    <w:rPr>
      <w:rFonts w:ascii="Gill Sans MT" w:hAnsi="Gill Sans MT"/>
      <w:color w:val="000000" w:themeColor="text1"/>
      <w:sz w:val="20"/>
      <w:szCs w:val="20"/>
    </w:rPr>
  </w:style>
  <w:style w:type="character" w:customStyle="1" w:styleId="CP2Char">
    <w:name w:val="CP2 Char"/>
    <w:basedOn w:val="DefaultParagraphFont"/>
    <w:link w:val="CP2"/>
    <w:rsid w:val="00E70653"/>
    <w:rPr>
      <w:rFonts w:ascii="Gill Sans MT" w:hAnsi="Gill Sans MT"/>
      <w:color w:val="000000" w:themeColor="text1"/>
      <w:sz w:val="28"/>
      <w:szCs w:val="28"/>
    </w:rPr>
  </w:style>
  <w:style w:type="paragraph" w:customStyle="1" w:styleId="Title2">
    <w:name w:val="Title2"/>
    <w:basedOn w:val="Normal"/>
    <w:link w:val="Title2Char"/>
    <w:qFormat/>
    <w:rsid w:val="00E70653"/>
    <w:rPr>
      <w:b/>
      <w:bCs/>
      <w:sz w:val="32"/>
      <w:szCs w:val="28"/>
    </w:rPr>
  </w:style>
  <w:style w:type="character" w:customStyle="1" w:styleId="CP3Char">
    <w:name w:val="CP3 Char"/>
    <w:basedOn w:val="DefaultParagraphFont"/>
    <w:link w:val="CP3"/>
    <w:rsid w:val="00E70653"/>
    <w:rPr>
      <w:rFonts w:ascii="Gill Sans MT" w:hAnsi="Gill Sans MT"/>
      <w:color w:val="000000" w:themeColor="text1"/>
      <w:sz w:val="20"/>
      <w:szCs w:val="20"/>
    </w:rPr>
  </w:style>
  <w:style w:type="paragraph" w:customStyle="1" w:styleId="Heading1">
    <w:name w:val="Heading1"/>
    <w:basedOn w:val="Normal"/>
    <w:link w:val="Heading1Char"/>
    <w:qFormat/>
    <w:rsid w:val="00E70653"/>
    <w:pPr>
      <w:spacing w:before="240"/>
    </w:pPr>
    <w:rPr>
      <w:b/>
      <w:bCs/>
      <w:sz w:val="28"/>
    </w:rPr>
  </w:style>
  <w:style w:type="character" w:customStyle="1" w:styleId="Title2Char">
    <w:name w:val="Title2 Char"/>
    <w:basedOn w:val="DefaultParagraphFont"/>
    <w:link w:val="Title2"/>
    <w:rsid w:val="00E70653"/>
    <w:rPr>
      <w:rFonts w:ascii="Arial" w:hAnsi="Arial" w:cs="Arial"/>
      <w:b/>
      <w:bCs/>
      <w:sz w:val="32"/>
      <w:szCs w:val="28"/>
    </w:rPr>
  </w:style>
  <w:style w:type="paragraph" w:customStyle="1" w:styleId="Heading2">
    <w:name w:val="Heading2"/>
    <w:basedOn w:val="Normal"/>
    <w:link w:val="Heading2Char"/>
    <w:qFormat/>
    <w:rsid w:val="00E70653"/>
    <w:rPr>
      <w:b/>
      <w:bCs/>
      <w:sz w:val="24"/>
    </w:rPr>
  </w:style>
  <w:style w:type="character" w:customStyle="1" w:styleId="Heading1Char">
    <w:name w:val="Heading1 Char"/>
    <w:basedOn w:val="DefaultParagraphFont"/>
    <w:link w:val="Heading1"/>
    <w:rsid w:val="00E70653"/>
    <w:rPr>
      <w:rFonts w:ascii="Arial" w:hAnsi="Arial" w:cs="Arial"/>
      <w:b/>
      <w:bCs/>
      <w:sz w:val="28"/>
      <w:szCs w:val="24"/>
    </w:rPr>
  </w:style>
  <w:style w:type="paragraph" w:customStyle="1" w:styleId="Ref">
    <w:name w:val="Ref"/>
    <w:basedOn w:val="Normal"/>
    <w:link w:val="RefChar"/>
    <w:qFormat/>
    <w:rsid w:val="00E70653"/>
    <w:pPr>
      <w:jc w:val="right"/>
    </w:pPr>
    <w:rPr>
      <w:rFonts w:ascii="Gill Sans MT" w:hAnsi="Gill Sans MT"/>
      <w:bCs/>
      <w:noProof/>
      <w:szCs w:val="28"/>
      <w:lang w:eastAsia="en-GB"/>
    </w:rPr>
  </w:style>
  <w:style w:type="character" w:customStyle="1" w:styleId="Heading2Char">
    <w:name w:val="Heading2 Char"/>
    <w:basedOn w:val="DefaultParagraphFont"/>
    <w:link w:val="Heading2"/>
    <w:rsid w:val="00E70653"/>
    <w:rPr>
      <w:rFonts w:ascii="Arial" w:hAnsi="Arial" w:cs="Arial"/>
      <w:b/>
      <w:bCs/>
      <w:sz w:val="24"/>
      <w:szCs w:val="24"/>
    </w:rPr>
  </w:style>
  <w:style w:type="paragraph" w:customStyle="1" w:styleId="Heading3">
    <w:name w:val="Heading3"/>
    <w:basedOn w:val="Heading2"/>
    <w:link w:val="Heading3Char"/>
    <w:qFormat/>
    <w:rsid w:val="00E70653"/>
    <w:rPr>
      <w:sz w:val="22"/>
    </w:rPr>
  </w:style>
  <w:style w:type="character" w:customStyle="1" w:styleId="RefChar">
    <w:name w:val="Ref Char"/>
    <w:basedOn w:val="DefaultParagraphFont"/>
    <w:link w:val="Ref"/>
    <w:rsid w:val="00E70653"/>
    <w:rPr>
      <w:rFonts w:ascii="Gill Sans MT" w:hAnsi="Gill Sans MT" w:cs="Arial"/>
      <w:bCs/>
      <w:noProof/>
      <w:szCs w:val="28"/>
      <w:lang w:eastAsia="en-GB"/>
    </w:rPr>
  </w:style>
  <w:style w:type="character" w:customStyle="1" w:styleId="Heading3Char">
    <w:name w:val="Heading3 Char"/>
    <w:basedOn w:val="Heading2Char"/>
    <w:link w:val="Heading3"/>
    <w:rsid w:val="00E70653"/>
    <w:rPr>
      <w:rFonts w:ascii="Arial" w:hAnsi="Arial" w:cs="Arial"/>
      <w:b/>
      <w:bCs/>
      <w:sz w:val="24"/>
      <w:szCs w:val="24"/>
    </w:rPr>
  </w:style>
  <w:style w:type="paragraph" w:styleId="ListParagraph">
    <w:name w:val="List Paragraph"/>
    <w:basedOn w:val="Normal"/>
    <w:uiPriority w:val="34"/>
    <w:qFormat/>
    <w:rsid w:val="00EC2C13"/>
    <w:pPr>
      <w:numPr>
        <w:numId w:val="1"/>
      </w:numPr>
      <w:ind w:left="709" w:hanging="283"/>
      <w:contextualSpacing/>
    </w:pPr>
  </w:style>
  <w:style w:type="table" w:styleId="TableGrid">
    <w:name w:val="Table Grid"/>
    <w:basedOn w:val="TableNormal"/>
    <w:uiPriority w:val="59"/>
    <w:rsid w:val="00107297"/>
    <w:pPr>
      <w:spacing w:after="0" w:line="240" w:lineRule="auto"/>
    </w:pPr>
    <w:rPr>
      <w:rFonts w:ascii="Times New Roman" w:eastAsia="Times New Roman" w:hAnsi="Times New Roman" w:cs="Times New Roman"/>
      <w:sz w:val="20"/>
      <w:szCs w:val="20"/>
      <w:lang w:eastAsia="en-GB"/>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odyText">
    <w:name w:val="Body Text"/>
    <w:basedOn w:val="Normal"/>
    <w:link w:val="BodyTextChar"/>
    <w:rsid w:val="00107297"/>
    <w:pPr>
      <w:spacing w:after="0" w:line="240" w:lineRule="auto"/>
    </w:pPr>
    <w:rPr>
      <w:rFonts w:ascii="Times New Roman" w:eastAsia="Times New Roman" w:hAnsi="Times New Roman" w:cs="Times New Roman"/>
      <w:b/>
      <w:sz w:val="20"/>
      <w:szCs w:val="20"/>
      <w:lang w:eastAsia="en-US"/>
    </w:rPr>
  </w:style>
  <w:style w:type="character" w:customStyle="1" w:styleId="BodyTextChar">
    <w:name w:val="Body Text Char"/>
    <w:basedOn w:val="DefaultParagraphFont"/>
    <w:link w:val="BodyText"/>
    <w:rsid w:val="00107297"/>
    <w:rPr>
      <w:rFonts w:ascii="Times New Roman" w:eastAsia="Times New Roman" w:hAnsi="Times New Roman" w:cs="Times New Roman"/>
      <w:b/>
      <w:sz w:val="20"/>
      <w:szCs w:val="20"/>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2.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header" Target="header2.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3.wmf"/></Relationships>
</file>

<file path=word/_rels/footer2.xml.rels><?xml version="1.0" encoding="UTF-8" standalone="yes"?>
<Relationships xmlns="http://schemas.openxmlformats.org/package/2006/relationships"><Relationship Id="rId1" Type="http://schemas.openxmlformats.org/officeDocument/2006/relationships/image" Target="media/image3.wmf"/></Relationships>
</file>

<file path=word/_rels/header2.xml.rels><?xml version="1.0" encoding="UTF-8" standalone="yes"?>
<Relationships xmlns="http://schemas.openxmlformats.org/package/2006/relationships"><Relationship Id="rId1" Type="http://schemas.openxmlformats.org/officeDocument/2006/relationships/image" Target="media/image4.w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2</Pages>
  <Words>441</Words>
  <Characters>2517</Characters>
  <Application>Microsoft Office Word</Application>
  <DocSecurity>0</DocSecurity>
  <Lines>20</Lines>
  <Paragraphs>5</Paragraphs>
  <ScaleCrop>false</ScaleCrop>
  <HeadingPairs>
    <vt:vector size="2" baseType="variant">
      <vt:variant>
        <vt:lpstr>Title</vt:lpstr>
      </vt:variant>
      <vt:variant>
        <vt:i4>1</vt:i4>
      </vt:variant>
    </vt:vector>
  </HeadingPairs>
  <TitlesOfParts>
    <vt:vector size="1" baseType="lpstr">
      <vt:lpstr/>
    </vt:vector>
  </TitlesOfParts>
  <Company>Loughborough University</Company>
  <LinksUpToDate>false</LinksUpToDate>
  <CharactersWithSpaces>2953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Janette Matthews</dc:creator>
  <cp:lastModifiedBy>Peter Samuels</cp:lastModifiedBy>
  <cp:revision>2</cp:revision>
  <cp:lastPrinted>2014-03-27T11:32:00Z</cp:lastPrinted>
  <dcterms:created xsi:type="dcterms:W3CDTF">2014-04-28T15:37:00Z</dcterms:created>
  <dcterms:modified xsi:type="dcterms:W3CDTF">2014-04-28T15:37:00Z</dcterms:modified>
</cp:coreProperties>
</file>